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3AC" w:rsidRDefault="00B20ADA" w:rsidP="00522997">
      <w:pPr>
        <w:pStyle w:val="3"/>
        <w:rPr>
          <w:rFonts w:hAnsi="宋体" w:cs="宋体"/>
          <w:sz w:val="24"/>
          <w:szCs w:val="24"/>
        </w:rPr>
      </w:pPr>
      <w:r w:rsidRPr="00522997">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522997">
        <w:instrText>ADDIN CNKISM.UserStyle</w:instrText>
      </w:r>
      <w:r w:rsidRPr="00522997">
        <w:fldChar w:fldCharType="end"/>
      </w:r>
      <w:r w:rsidR="002903AC" w:rsidRPr="00522997">
        <w:rPr>
          <w:rFonts w:hint="eastAsia"/>
        </w:rPr>
        <w:t>0251</w:t>
      </w:r>
      <w:r w:rsidR="006453E6" w:rsidRPr="00522997">
        <w:rPr>
          <w:rFonts w:hint="eastAsia"/>
        </w:rPr>
        <w:t xml:space="preserve">  金融硕士</w:t>
      </w:r>
      <w:r w:rsidR="006453E6" w:rsidRPr="00522997">
        <w:rPr>
          <w:rFonts w:hAnsi="宋体" w:cs="宋体" w:hint="eastAsia"/>
        </w:rPr>
        <w:t>专业学位基本要求</w:t>
      </w:r>
    </w:p>
    <w:p w:rsidR="00522997" w:rsidRPr="00522997" w:rsidRDefault="00522997" w:rsidP="00522997">
      <w:pPr>
        <w:rPr>
          <w:rFonts w:hint="eastAsia"/>
        </w:rPr>
      </w:pP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第一部分 概况</w:t>
      </w:r>
    </w:p>
    <w:p w:rsidR="00B20ADA" w:rsidRDefault="006453E6" w:rsidP="002903AC">
      <w:pPr>
        <w:pStyle w:val="ad"/>
        <w:ind w:firstLine="482"/>
        <w:rPr>
          <w:rFonts w:hAnsi="宋体" w:cs="宋体"/>
          <w:sz w:val="24"/>
          <w:szCs w:val="24"/>
        </w:rPr>
      </w:pPr>
      <w:r w:rsidRPr="002903AC">
        <w:rPr>
          <w:rFonts w:hAnsi="宋体" w:cs="宋体" w:hint="eastAsia"/>
          <w:sz w:val="24"/>
          <w:szCs w:val="24"/>
        </w:rPr>
        <w:t>随着经济全球化的发展，国际经济金融之间的关系越来越复杂和紧密，金融对经济的作用日益增强。在我国，金融结构市场化、资产证券化、金融机构多元化、金融体系国际化等诸方面不断加强，现代金融发展模式和结构正在发生变化。以上诸因素</w:t>
      </w:r>
      <w:r w:rsidR="00B20ADA">
        <w:rPr>
          <w:rFonts w:hAnsi="宋体" w:cs="宋体" w:hint="eastAsia"/>
          <w:sz w:val="24"/>
          <w:szCs w:val="24"/>
        </w:rPr>
        <w:t>催生</w:t>
      </w:r>
      <w:r w:rsidRPr="002903AC">
        <w:rPr>
          <w:rFonts w:hAnsi="宋体" w:cs="宋体" w:hint="eastAsia"/>
          <w:sz w:val="24"/>
          <w:szCs w:val="24"/>
        </w:rPr>
        <w:t>了对</w:t>
      </w:r>
      <w:r w:rsidR="00B20ADA">
        <w:rPr>
          <w:rFonts w:hAnsi="宋体" w:cs="宋体" w:hint="eastAsia"/>
          <w:sz w:val="24"/>
          <w:szCs w:val="24"/>
        </w:rPr>
        <w:t>掌握</w:t>
      </w:r>
      <w:r w:rsidRPr="002903AC">
        <w:rPr>
          <w:rFonts w:hAnsi="宋体" w:cs="宋体" w:hint="eastAsia"/>
          <w:sz w:val="24"/>
          <w:szCs w:val="24"/>
        </w:rPr>
        <w:t>金融理论并具有卓越的实践能力的金融专业人才的迫切需求。在此背景下，国务院学位委员会第27次会议审议通过了金融硕士专业学位设置方案，决定在我国新增金融硕士专业学位，并于2011年成立全国金融专业学位研究生教育指导委员会，2011年开始招收金融硕士专业学位研究生。</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金融硕士专业学位的内涵可以从发展宗旨、目标、理念、意识与能力要素几方面理解。发展金融硕士专业学位的宗旨是为我国金融改革和发展培养既有扎实的专业知识和技能又有宽广的国际视野和卓越的实践能力的金融专业人才。具体目标是培养具有卓越实践能力的高层次金融专业人才。这种卓越实践能力体现为具备扎实的经济、金融学理论基础，良好的职业道德，富有创新的精神和进取的品格，较强的从事金融实际工作的能力。理念是，“</w:t>
      </w:r>
      <w:r w:rsidR="00B20ADA">
        <w:rPr>
          <w:rFonts w:hAnsi="宋体" w:cs="宋体" w:hint="eastAsia"/>
          <w:sz w:val="24"/>
          <w:szCs w:val="24"/>
        </w:rPr>
        <w:t>中西</w:t>
      </w:r>
      <w:r w:rsidRPr="002903AC">
        <w:rPr>
          <w:rFonts w:hAnsi="宋体" w:cs="宋体" w:hint="eastAsia"/>
          <w:sz w:val="24"/>
          <w:szCs w:val="24"/>
        </w:rPr>
        <w:t>融合、知行合一”。同时注重培养金融硕士专业学位学生四种意识与四种能力要素。四种意识：创新意识、市场意识、服务意识和国际意识。四种能力要素：创新能力、管理风险的能力、服务能力、国际交流与业务开展的能力。</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金融硕士专业学位项目的使命是为我国现代化建设特别是为我国金融改革、创新和发展提供高质量的专业人才支撑。该项目主要致力于培养金融分析师、风险(财富)管理师、产品设计师、金融市场拓展者以及金融企业优秀从业人员与管理者等高层次人才。服务领域主要有金融行业，如银行、证券、基金、信托、期货、投资公司等，以及政府的金融管理部门、企业财务管理和资金运营部门等。</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我国金融改革和发展迫切需要一大批高素质的金融专业人才。同时，国家鼓励大力发展专业学位研究生教育。因此，金融硕士专业学位项目具有广阔的发展前景。</w:t>
      </w:r>
    </w:p>
    <w:p w:rsidR="002903AC" w:rsidRDefault="002903AC" w:rsidP="002903AC">
      <w:pPr>
        <w:pStyle w:val="ad"/>
        <w:ind w:firstLine="482"/>
        <w:rPr>
          <w:rFonts w:hAnsi="宋体" w:cs="宋体"/>
          <w:sz w:val="24"/>
          <w:szCs w:val="24"/>
        </w:rPr>
      </w:pP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第二部分 硕士专业学位基本要求</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一、获本专业学位应具备的基本素质</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1．学术道德</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恪守学术道德，遵守学术规范，尊重科学真理，尊重知识产权，遵循客观、公</w:t>
      </w:r>
      <w:r w:rsidRPr="002903AC">
        <w:rPr>
          <w:rFonts w:hAnsi="宋体" w:cs="宋体" w:hint="eastAsia"/>
          <w:sz w:val="24"/>
          <w:szCs w:val="24"/>
        </w:rPr>
        <w:lastRenderedPageBreak/>
        <w:t>正、准确的原则，崇尚严谨求实的学风，勇于探索创新，维护科学诚信。</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2．专业素养</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具备扎实的金融学理论基础与技能，具备与国内、国际金融专业人士顺畅沟通的能力，具有国际化视野和一定的前瞻性，能够应用金融学的相关理论、方法和工具解决实际问题。增强创新创业能力。</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3.职业道德与职业精神</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遵循职业道德，行为符合金融伦理，具有社会责任感，以公正、平等、诚信、守法为基本价值理念，具备致力于金融稳健运作、提升公众福利和社会和谐发展的职业精神。</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二、获本专业学位应掌握的基本知识</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1．基础知识</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掌握经济学、金融学、管理学、会计学等基础知识，熟悉解决金融问题的工具和方法，能熟练运用一门外语(一般为英语)进行交流。</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2．专业知识</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第一部分，专业课程知识体系。</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至少研修并考核通过以下6门核心课程中的4门，熟知课程的知识结构和知识要点，能够运用相应的原理、方法和工具分析并解决实际问题。6门核心课程分别是：金融理论与政策、金融市场与金融机构、财务报表分析、投资学、公司金融、衍生金融工具。</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在完成以上核心课程研修与考核之外，至少学习并掌握8门选修课程的知识和技能。全国金融专业学位研究生教育指导委员会推荐的选修课程有：金融伦理与职业道德、金融监管、金融企业战略、行为金融学、金融服务营销、金融机构经营管理、金融机构风险管理、产品与服务流程创新设计、财富管理、基金投资与管理、企业并购与重组实务、金融数据分析、量化投资、固定收益证券。鼓励各培养单位在此基础上根据所在地区人才需求与自身特色拓展选修课范围。</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第二部分，从行业工作实践角度看，应具备的知识结构。</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(1)熟悉国内外宏观经济金融环境及其核心影响因素的运行逻辑和发展方向。</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(2)能较好地阅读和分析企业财务报表，能从中发现问题和判断企业的真实状况和投资价值，并给出相应建议。</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(3)了解国内、国际主要金融市场与重要金融机构的业务结构以及基本的产品架构，能跟踪国内外金融产品创新的最新进展。</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(4)了解各主要金融机构的基本组织架构。</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lastRenderedPageBreak/>
        <w:t>(5)具备信息化应用能力，能够熟练运用至少一种专业金融软件，并了解大数据时代下金融行业的改革与创新。</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(6)在前5项基础上，至少还要在一个具体的金融领域或业务上具备较强的专业能力，如债券业务、组合管理、风险管理、公司金融、量化投资分析、资产负债管理或兼并收购等。</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三、获本专业学位应接受的实践训练</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1、案例教学</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训练学生运用所学的理论知识解决实践问题，并通过实践案例的教学使学生认识到理论与现实之间的差距，以及二者之间相互促进、相互完善的关系，提高学生分析问题、解决问题的能力，并在案例教学中进行案例开发、案例完善。</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2、模拟教学</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训练学生的创造力、团队协同能力、知识运用能力、对实际业务的操作能力，在教学中注重实验和模拟与实践的贴近程度，注重系统性，并重视教学效果的总结和改进。</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3．实践专家授课</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一些应用性较强的课程或相关内容应聘</w:t>
      </w:r>
      <w:proofErr w:type="gramStart"/>
      <w:r w:rsidRPr="002903AC">
        <w:rPr>
          <w:rFonts w:hAnsi="宋体" w:cs="宋体" w:hint="eastAsia"/>
          <w:sz w:val="24"/>
          <w:szCs w:val="24"/>
        </w:rPr>
        <w:t>请实践</w:t>
      </w:r>
      <w:proofErr w:type="gramEnd"/>
      <w:r w:rsidRPr="002903AC">
        <w:rPr>
          <w:rFonts w:hAnsi="宋体" w:cs="宋体" w:hint="eastAsia"/>
          <w:sz w:val="24"/>
          <w:szCs w:val="24"/>
        </w:rPr>
        <w:t>部门的中层以上管理者，(或特别优秀的具体业务人员)讲授，讲授的形式和时间安排根据不同内容及其要求灵活调整，以提高知识的实用性，缩小课堂与市场的差距。</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4．业务实践</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在金融机构、金融监管机构、金融行业协会等工作岗位接受职业训练时间不少于3个月(具体实践时间与实习方式，各培养单位可根据自身条件进行开创性探索)，并熟练掌握相应的业务技能。实践期间，学生应独立完成或作为主要承担方共同完成具有一定专业实践意义的成果，并作为实践和实习综合考查的组成部分，以提高学生参与实践的效率和质量。</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总之，通过实践训练，学生应该在语言文字表达能力、逻辑结构、专业用词、对金融</w:t>
      </w:r>
      <w:r w:rsidR="00281BFC">
        <w:rPr>
          <w:rFonts w:hAnsi="宋体" w:cs="宋体" w:hint="eastAsia"/>
          <w:sz w:val="24"/>
          <w:szCs w:val="24"/>
        </w:rPr>
        <w:t>业</w:t>
      </w:r>
      <w:proofErr w:type="gramStart"/>
      <w:r w:rsidR="00281BFC">
        <w:rPr>
          <w:rFonts w:hAnsi="宋体" w:cs="宋体" w:hint="eastAsia"/>
          <w:sz w:val="24"/>
          <w:szCs w:val="24"/>
        </w:rPr>
        <w:t>务</w:t>
      </w:r>
      <w:proofErr w:type="gramEnd"/>
      <w:r w:rsidRPr="002903AC">
        <w:rPr>
          <w:rFonts w:hAnsi="宋体" w:cs="宋体" w:hint="eastAsia"/>
          <w:sz w:val="24"/>
          <w:szCs w:val="24"/>
        </w:rPr>
        <w:t>实际运行的理解等各方面都有提高，达到甚至超过一般员工的业务水平。以提高实践能力为中心，实践训练要注重实践内容设计、实践过程管理，培养单位要对实践计划、实践工作日志、实践总结报告和实践过程产生的新知识、新方法、新方案、新产品等进行质量评价。</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四、获本专业学位应具备的基本能力</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具备扎实的经济、金融学理论基础，良好的职业道德，富有创新的精神和进取的品格，较强的从事金融实际工作的能力。其应具备</w:t>
      </w:r>
      <w:r w:rsidR="002903AC" w:rsidRPr="002903AC">
        <w:rPr>
          <w:rFonts w:hAnsi="宋体" w:cs="宋体" w:hint="eastAsia"/>
          <w:sz w:val="24"/>
          <w:szCs w:val="24"/>
        </w:rPr>
        <w:t>的</w:t>
      </w:r>
      <w:r w:rsidRPr="002903AC">
        <w:rPr>
          <w:rFonts w:hAnsi="宋体" w:cs="宋体" w:hint="eastAsia"/>
          <w:sz w:val="24"/>
          <w:szCs w:val="24"/>
        </w:rPr>
        <w:t>基本能力在金融实践中主要</w:t>
      </w:r>
      <w:r w:rsidRPr="002903AC">
        <w:rPr>
          <w:rFonts w:hAnsi="宋体" w:cs="宋体" w:hint="eastAsia"/>
          <w:sz w:val="24"/>
          <w:szCs w:val="24"/>
        </w:rPr>
        <w:lastRenderedPageBreak/>
        <w:t>体现在以下三方面：</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1．学习能力</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学习能力具体体现为研究并解决新问题的快速应对能力，具有较强的获取信息能力和处理复杂信息能力。</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2．沟通能力</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具备较好的文字表达能力，能与管理层</w:t>
      </w:r>
      <w:r w:rsidR="00A77FDD">
        <w:rPr>
          <w:rFonts w:hAnsi="宋体" w:cs="宋体" w:hint="eastAsia"/>
          <w:sz w:val="24"/>
          <w:szCs w:val="24"/>
        </w:rPr>
        <w:t>、</w:t>
      </w:r>
      <w:r w:rsidRPr="002903AC">
        <w:rPr>
          <w:rFonts w:hAnsi="宋体" w:cs="宋体" w:hint="eastAsia"/>
          <w:sz w:val="24"/>
          <w:szCs w:val="24"/>
        </w:rPr>
        <w:t>团队成员、客户进行有效沟通，并能成功实现理念、产品的推介。</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3．市场运作能力</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对市场动态反应敏锐，切实了解并把握市场需求，并具备把产品推向市场实现销售的能力。</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五、学位论文基本要求</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1、选题要求</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选题应来自于实际问题，学位论文内容应与金融实践紧密结合，应着重对实践问题的分析。</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2．学位论文形式和规范要求</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学位论文基本要求：运用基本理论阐述并研究、解决与金融实践相关的问题；论文论据充分，逻辑严密，鼓励创新，严禁抄袭。</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学位论文的基本形式主要有：案例分析、产品设计与金融实践问题解决方案、调研报告或基于实际问题分析的政策建议报告等。论文原则上不少于2万字。</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3．学位论文水平要求</w:t>
      </w: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金融硕士专业学位论文的评阅主要考核“选题、理论与方法、数据与素材、现实价值、创新性、写作能力”等六方面。学位论文的评阅人及答辩委员会中，至少有一位来自相关实务部门，且已取得硕士及以上学位的专家。</w:t>
      </w:r>
    </w:p>
    <w:p w:rsidR="002903AC" w:rsidRDefault="002903AC" w:rsidP="002903AC">
      <w:pPr>
        <w:pStyle w:val="ad"/>
        <w:ind w:firstLine="482"/>
        <w:rPr>
          <w:rFonts w:hAnsi="宋体" w:cs="宋体"/>
          <w:sz w:val="24"/>
          <w:szCs w:val="24"/>
        </w:rPr>
      </w:pPr>
    </w:p>
    <w:p w:rsidR="002903AC" w:rsidRPr="002903AC" w:rsidRDefault="006453E6" w:rsidP="002903AC">
      <w:pPr>
        <w:pStyle w:val="ad"/>
        <w:ind w:firstLine="482"/>
        <w:rPr>
          <w:rFonts w:hAnsi="宋体" w:cs="宋体"/>
          <w:sz w:val="24"/>
          <w:szCs w:val="24"/>
        </w:rPr>
      </w:pPr>
      <w:r w:rsidRPr="002903AC">
        <w:rPr>
          <w:rFonts w:hAnsi="宋体" w:cs="宋体" w:hint="eastAsia"/>
          <w:sz w:val="24"/>
          <w:szCs w:val="24"/>
        </w:rPr>
        <w:t>第三部分 编写成员</w:t>
      </w:r>
    </w:p>
    <w:p w:rsidR="006453E6" w:rsidRPr="002903AC" w:rsidRDefault="006453E6" w:rsidP="00522997">
      <w:pPr>
        <w:pStyle w:val="ad"/>
        <w:ind w:firstLine="482"/>
        <w:rPr>
          <w:rFonts w:hAnsi="宋体" w:cs="宋体"/>
          <w:sz w:val="24"/>
          <w:szCs w:val="24"/>
        </w:rPr>
      </w:pPr>
      <w:r w:rsidRPr="002903AC">
        <w:rPr>
          <w:rFonts w:hAnsi="宋体" w:cs="宋体" w:hint="eastAsia"/>
          <w:sz w:val="24"/>
          <w:szCs w:val="24"/>
        </w:rPr>
        <w:t>马君潞、尹志锋、王广谦、刘少波、刘亚、刘庭竹、刘晓星、庄毓敏、朱孟楠、朱新蓉、许荣、</w:t>
      </w:r>
      <w:proofErr w:type="gramStart"/>
      <w:r w:rsidRPr="002903AC">
        <w:rPr>
          <w:rFonts w:hAnsi="宋体" w:cs="宋体" w:hint="eastAsia"/>
          <w:sz w:val="24"/>
          <w:szCs w:val="24"/>
        </w:rPr>
        <w:t>邢</w:t>
      </w:r>
      <w:proofErr w:type="gramEnd"/>
      <w:r w:rsidRPr="002903AC">
        <w:rPr>
          <w:rFonts w:hAnsi="宋体" w:cs="宋体" w:hint="eastAsia"/>
          <w:sz w:val="24"/>
          <w:szCs w:val="24"/>
        </w:rPr>
        <w:t>天才、吴晓求、吴晓灵、宋逢明、张健华、张桥云、张霞、李少君、李心丹、李成、李悦、杨再平、陆超、陈共炎、陈学彬、钟俊、徐信忠、</w:t>
      </w:r>
      <w:proofErr w:type="gramStart"/>
      <w:r w:rsidRPr="002903AC">
        <w:rPr>
          <w:rFonts w:hAnsi="宋体" w:cs="宋体" w:hint="eastAsia"/>
          <w:sz w:val="24"/>
          <w:szCs w:val="24"/>
        </w:rPr>
        <w:t>赫</w:t>
      </w:r>
      <w:proofErr w:type="gramEnd"/>
      <w:r w:rsidRPr="002903AC">
        <w:rPr>
          <w:rFonts w:hAnsi="宋体" w:cs="宋体" w:hint="eastAsia"/>
          <w:sz w:val="24"/>
          <w:szCs w:val="24"/>
        </w:rPr>
        <w:t>国胜、戴国强。</w:t>
      </w:r>
      <w:bookmarkStart w:id="0" w:name="_GoBack"/>
      <w:bookmarkEnd w:id="0"/>
    </w:p>
    <w:sectPr w:rsidR="006453E6" w:rsidRPr="002903AC" w:rsidSect="00005229">
      <w:pgSz w:w="11906" w:h="16838" w:code="9"/>
      <w:pgMar w:top="1701" w:right="1701" w:bottom="1701" w:left="1701" w:header="1021" w:footer="1021" w:gutter="0"/>
      <w:cols w:space="425"/>
      <w:docGrid w:type="lines" w:linePitch="4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25"/>
  <w:drawingGridHorizontalSpacing w:val="120"/>
  <w:drawingGridVerticalSpacing w:val="4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E2"/>
    <w:rsid w:val="00005229"/>
    <w:rsid w:val="00012F71"/>
    <w:rsid w:val="00013DB1"/>
    <w:rsid w:val="00015078"/>
    <w:rsid w:val="00022DED"/>
    <w:rsid w:val="00025D61"/>
    <w:rsid w:val="0003165C"/>
    <w:rsid w:val="000327C7"/>
    <w:rsid w:val="00040302"/>
    <w:rsid w:val="00054834"/>
    <w:rsid w:val="0006140D"/>
    <w:rsid w:val="0006594A"/>
    <w:rsid w:val="0007247B"/>
    <w:rsid w:val="00073181"/>
    <w:rsid w:val="00073F0E"/>
    <w:rsid w:val="00080671"/>
    <w:rsid w:val="000808AA"/>
    <w:rsid w:val="00081B30"/>
    <w:rsid w:val="00093731"/>
    <w:rsid w:val="000A037F"/>
    <w:rsid w:val="000A4B7B"/>
    <w:rsid w:val="000B3DB6"/>
    <w:rsid w:val="000D4BE4"/>
    <w:rsid w:val="000D4CD4"/>
    <w:rsid w:val="000E5085"/>
    <w:rsid w:val="000F49A0"/>
    <w:rsid w:val="000F797C"/>
    <w:rsid w:val="00103F0C"/>
    <w:rsid w:val="00104FDC"/>
    <w:rsid w:val="00105CB4"/>
    <w:rsid w:val="0011336D"/>
    <w:rsid w:val="00114609"/>
    <w:rsid w:val="00123F30"/>
    <w:rsid w:val="00135E19"/>
    <w:rsid w:val="00137E2C"/>
    <w:rsid w:val="0015171F"/>
    <w:rsid w:val="001538D3"/>
    <w:rsid w:val="00163D2C"/>
    <w:rsid w:val="00174CCE"/>
    <w:rsid w:val="0017631B"/>
    <w:rsid w:val="001A36E6"/>
    <w:rsid w:val="001A55A7"/>
    <w:rsid w:val="001A7DC2"/>
    <w:rsid w:val="001B6FD2"/>
    <w:rsid w:val="001C2849"/>
    <w:rsid w:val="001C2FEC"/>
    <w:rsid w:val="001C4D0D"/>
    <w:rsid w:val="001C60FF"/>
    <w:rsid w:val="001E0A84"/>
    <w:rsid w:val="001E3876"/>
    <w:rsid w:val="001F6C22"/>
    <w:rsid w:val="00200EA8"/>
    <w:rsid w:val="00204170"/>
    <w:rsid w:val="00206A3E"/>
    <w:rsid w:val="00211FF5"/>
    <w:rsid w:val="00216370"/>
    <w:rsid w:val="00227614"/>
    <w:rsid w:val="00227804"/>
    <w:rsid w:val="00233C40"/>
    <w:rsid w:val="00236CAA"/>
    <w:rsid w:val="00242E10"/>
    <w:rsid w:val="0024333F"/>
    <w:rsid w:val="0024538C"/>
    <w:rsid w:val="0025240A"/>
    <w:rsid w:val="00256071"/>
    <w:rsid w:val="00262C12"/>
    <w:rsid w:val="00267A27"/>
    <w:rsid w:val="00271003"/>
    <w:rsid w:val="00276665"/>
    <w:rsid w:val="002804C2"/>
    <w:rsid w:val="002809D5"/>
    <w:rsid w:val="00280D23"/>
    <w:rsid w:val="002811E0"/>
    <w:rsid w:val="002818DD"/>
    <w:rsid w:val="00281BFC"/>
    <w:rsid w:val="00286A30"/>
    <w:rsid w:val="002879C9"/>
    <w:rsid w:val="002903AC"/>
    <w:rsid w:val="00290433"/>
    <w:rsid w:val="0029307B"/>
    <w:rsid w:val="002A26F4"/>
    <w:rsid w:val="002A3E81"/>
    <w:rsid w:val="002B4750"/>
    <w:rsid w:val="002B5781"/>
    <w:rsid w:val="002C09FC"/>
    <w:rsid w:val="002C0E82"/>
    <w:rsid w:val="002D46E0"/>
    <w:rsid w:val="002D673B"/>
    <w:rsid w:val="002E1B1E"/>
    <w:rsid w:val="002E7319"/>
    <w:rsid w:val="002F14F4"/>
    <w:rsid w:val="002F550B"/>
    <w:rsid w:val="002F5F48"/>
    <w:rsid w:val="002F7145"/>
    <w:rsid w:val="002F7CE4"/>
    <w:rsid w:val="00300607"/>
    <w:rsid w:val="0030329D"/>
    <w:rsid w:val="00306A90"/>
    <w:rsid w:val="00307557"/>
    <w:rsid w:val="00317B22"/>
    <w:rsid w:val="003216AF"/>
    <w:rsid w:val="00322AE2"/>
    <w:rsid w:val="00323432"/>
    <w:rsid w:val="003235A6"/>
    <w:rsid w:val="00324FDA"/>
    <w:rsid w:val="00326A84"/>
    <w:rsid w:val="00327B49"/>
    <w:rsid w:val="00332C09"/>
    <w:rsid w:val="0033730C"/>
    <w:rsid w:val="00337FBC"/>
    <w:rsid w:val="0034046C"/>
    <w:rsid w:val="00341F35"/>
    <w:rsid w:val="003448B7"/>
    <w:rsid w:val="0035360E"/>
    <w:rsid w:val="00361BDC"/>
    <w:rsid w:val="00362B25"/>
    <w:rsid w:val="00376910"/>
    <w:rsid w:val="003779BD"/>
    <w:rsid w:val="00383D78"/>
    <w:rsid w:val="0038462C"/>
    <w:rsid w:val="00384B0E"/>
    <w:rsid w:val="00392EF1"/>
    <w:rsid w:val="00394E2E"/>
    <w:rsid w:val="00395EB9"/>
    <w:rsid w:val="00396FB2"/>
    <w:rsid w:val="003A21C0"/>
    <w:rsid w:val="003A6707"/>
    <w:rsid w:val="003B0001"/>
    <w:rsid w:val="003B1121"/>
    <w:rsid w:val="003B2083"/>
    <w:rsid w:val="003C0E01"/>
    <w:rsid w:val="003C3603"/>
    <w:rsid w:val="003C3FC6"/>
    <w:rsid w:val="003C4EAF"/>
    <w:rsid w:val="003D1006"/>
    <w:rsid w:val="003E00F3"/>
    <w:rsid w:val="003E0CD7"/>
    <w:rsid w:val="003E2C61"/>
    <w:rsid w:val="003F3F6E"/>
    <w:rsid w:val="0041574E"/>
    <w:rsid w:val="00420F4F"/>
    <w:rsid w:val="00422A43"/>
    <w:rsid w:val="00427933"/>
    <w:rsid w:val="00440B2F"/>
    <w:rsid w:val="004509F7"/>
    <w:rsid w:val="00457D24"/>
    <w:rsid w:val="00463946"/>
    <w:rsid w:val="00472184"/>
    <w:rsid w:val="00477006"/>
    <w:rsid w:val="00487E57"/>
    <w:rsid w:val="00493EFC"/>
    <w:rsid w:val="00497577"/>
    <w:rsid w:val="004A0272"/>
    <w:rsid w:val="004A063D"/>
    <w:rsid w:val="004A6078"/>
    <w:rsid w:val="004D36B3"/>
    <w:rsid w:val="004E0212"/>
    <w:rsid w:val="004E4435"/>
    <w:rsid w:val="004F01D1"/>
    <w:rsid w:val="00505DFC"/>
    <w:rsid w:val="00511EF6"/>
    <w:rsid w:val="00521EB9"/>
    <w:rsid w:val="00522997"/>
    <w:rsid w:val="00527964"/>
    <w:rsid w:val="00533E58"/>
    <w:rsid w:val="00536E71"/>
    <w:rsid w:val="005509B1"/>
    <w:rsid w:val="00556955"/>
    <w:rsid w:val="00563DCA"/>
    <w:rsid w:val="005714A6"/>
    <w:rsid w:val="005837A0"/>
    <w:rsid w:val="00584196"/>
    <w:rsid w:val="00584497"/>
    <w:rsid w:val="00585D0B"/>
    <w:rsid w:val="00586282"/>
    <w:rsid w:val="00592FD2"/>
    <w:rsid w:val="00594F71"/>
    <w:rsid w:val="00596F64"/>
    <w:rsid w:val="005A7F01"/>
    <w:rsid w:val="005B339D"/>
    <w:rsid w:val="005B7850"/>
    <w:rsid w:val="005C5E55"/>
    <w:rsid w:val="005D2A5E"/>
    <w:rsid w:val="005D45CC"/>
    <w:rsid w:val="005D57FA"/>
    <w:rsid w:val="005D61FB"/>
    <w:rsid w:val="005E1A75"/>
    <w:rsid w:val="005E362B"/>
    <w:rsid w:val="005E6725"/>
    <w:rsid w:val="005E7F08"/>
    <w:rsid w:val="005F4C0C"/>
    <w:rsid w:val="006035D2"/>
    <w:rsid w:val="006226DC"/>
    <w:rsid w:val="006250B2"/>
    <w:rsid w:val="00625DCF"/>
    <w:rsid w:val="0062648B"/>
    <w:rsid w:val="00627DE1"/>
    <w:rsid w:val="006306E9"/>
    <w:rsid w:val="00642809"/>
    <w:rsid w:val="006453E6"/>
    <w:rsid w:val="00646D32"/>
    <w:rsid w:val="00652D19"/>
    <w:rsid w:val="00655FAA"/>
    <w:rsid w:val="0066247C"/>
    <w:rsid w:val="006625DD"/>
    <w:rsid w:val="00664E3E"/>
    <w:rsid w:val="00664E8D"/>
    <w:rsid w:val="006678C1"/>
    <w:rsid w:val="00672799"/>
    <w:rsid w:val="00673AF7"/>
    <w:rsid w:val="00673D0E"/>
    <w:rsid w:val="00674A65"/>
    <w:rsid w:val="006825A3"/>
    <w:rsid w:val="00683659"/>
    <w:rsid w:val="006867CD"/>
    <w:rsid w:val="00691C3B"/>
    <w:rsid w:val="00693C16"/>
    <w:rsid w:val="006966E1"/>
    <w:rsid w:val="00696D47"/>
    <w:rsid w:val="006A07D1"/>
    <w:rsid w:val="006A452D"/>
    <w:rsid w:val="006A7DD2"/>
    <w:rsid w:val="006B084E"/>
    <w:rsid w:val="006B4330"/>
    <w:rsid w:val="006D3443"/>
    <w:rsid w:val="006D4A6F"/>
    <w:rsid w:val="006D6C1E"/>
    <w:rsid w:val="006E1DF8"/>
    <w:rsid w:val="006E3354"/>
    <w:rsid w:val="006E5E4D"/>
    <w:rsid w:val="006E66C5"/>
    <w:rsid w:val="006F0F48"/>
    <w:rsid w:val="006F66D8"/>
    <w:rsid w:val="007069EA"/>
    <w:rsid w:val="00712FF8"/>
    <w:rsid w:val="0072717F"/>
    <w:rsid w:val="00730798"/>
    <w:rsid w:val="00735F6A"/>
    <w:rsid w:val="00750815"/>
    <w:rsid w:val="00755CD3"/>
    <w:rsid w:val="00756E6C"/>
    <w:rsid w:val="00761AC7"/>
    <w:rsid w:val="007627A0"/>
    <w:rsid w:val="00766EB1"/>
    <w:rsid w:val="00767605"/>
    <w:rsid w:val="00781F7A"/>
    <w:rsid w:val="00791AA7"/>
    <w:rsid w:val="00792E51"/>
    <w:rsid w:val="007938FB"/>
    <w:rsid w:val="00797BC0"/>
    <w:rsid w:val="007A1AF6"/>
    <w:rsid w:val="007A480C"/>
    <w:rsid w:val="007A65AC"/>
    <w:rsid w:val="007A7BB9"/>
    <w:rsid w:val="007B0577"/>
    <w:rsid w:val="007C3B13"/>
    <w:rsid w:val="007C72C9"/>
    <w:rsid w:val="007D04F3"/>
    <w:rsid w:val="007D14A7"/>
    <w:rsid w:val="007D64D9"/>
    <w:rsid w:val="007D77D1"/>
    <w:rsid w:val="007D7A89"/>
    <w:rsid w:val="007E22DC"/>
    <w:rsid w:val="007E61B1"/>
    <w:rsid w:val="007F0016"/>
    <w:rsid w:val="007F3137"/>
    <w:rsid w:val="007F5541"/>
    <w:rsid w:val="00805DCF"/>
    <w:rsid w:val="00812577"/>
    <w:rsid w:val="0081426B"/>
    <w:rsid w:val="00820933"/>
    <w:rsid w:val="00821F83"/>
    <w:rsid w:val="00827BD9"/>
    <w:rsid w:val="00831FBA"/>
    <w:rsid w:val="0083667A"/>
    <w:rsid w:val="00842819"/>
    <w:rsid w:val="008628CE"/>
    <w:rsid w:val="0086419F"/>
    <w:rsid w:val="0086522E"/>
    <w:rsid w:val="0087607C"/>
    <w:rsid w:val="0088550C"/>
    <w:rsid w:val="00886D39"/>
    <w:rsid w:val="00893326"/>
    <w:rsid w:val="00893DD0"/>
    <w:rsid w:val="00894734"/>
    <w:rsid w:val="008B2DA5"/>
    <w:rsid w:val="008C109D"/>
    <w:rsid w:val="008D2906"/>
    <w:rsid w:val="008D61AF"/>
    <w:rsid w:val="008D7010"/>
    <w:rsid w:val="008E1F36"/>
    <w:rsid w:val="008E6701"/>
    <w:rsid w:val="008E6DE6"/>
    <w:rsid w:val="008F08A8"/>
    <w:rsid w:val="008F3A79"/>
    <w:rsid w:val="00901DAD"/>
    <w:rsid w:val="0090471F"/>
    <w:rsid w:val="009055EE"/>
    <w:rsid w:val="00907124"/>
    <w:rsid w:val="00907B2C"/>
    <w:rsid w:val="0091118E"/>
    <w:rsid w:val="00911B97"/>
    <w:rsid w:val="00911EDC"/>
    <w:rsid w:val="00912708"/>
    <w:rsid w:val="00922087"/>
    <w:rsid w:val="00923591"/>
    <w:rsid w:val="009238C0"/>
    <w:rsid w:val="00924648"/>
    <w:rsid w:val="00946AFD"/>
    <w:rsid w:val="00955441"/>
    <w:rsid w:val="0095612E"/>
    <w:rsid w:val="00973BE2"/>
    <w:rsid w:val="009772C0"/>
    <w:rsid w:val="00977958"/>
    <w:rsid w:val="009831A9"/>
    <w:rsid w:val="00984B94"/>
    <w:rsid w:val="00987151"/>
    <w:rsid w:val="00990805"/>
    <w:rsid w:val="009917BD"/>
    <w:rsid w:val="00991B6A"/>
    <w:rsid w:val="009976E3"/>
    <w:rsid w:val="009A34FD"/>
    <w:rsid w:val="009A3B9C"/>
    <w:rsid w:val="009A6456"/>
    <w:rsid w:val="009B56CA"/>
    <w:rsid w:val="009C0BAC"/>
    <w:rsid w:val="009C67C0"/>
    <w:rsid w:val="009D7539"/>
    <w:rsid w:val="009E34ED"/>
    <w:rsid w:val="009F62DA"/>
    <w:rsid w:val="00A11716"/>
    <w:rsid w:val="00A16BF2"/>
    <w:rsid w:val="00A22A76"/>
    <w:rsid w:val="00A25C6C"/>
    <w:rsid w:val="00A26CFF"/>
    <w:rsid w:val="00A3186E"/>
    <w:rsid w:val="00A34D2D"/>
    <w:rsid w:val="00A3611D"/>
    <w:rsid w:val="00A41196"/>
    <w:rsid w:val="00A46E95"/>
    <w:rsid w:val="00A476E2"/>
    <w:rsid w:val="00A54A78"/>
    <w:rsid w:val="00A56B91"/>
    <w:rsid w:val="00A626D5"/>
    <w:rsid w:val="00A62BD6"/>
    <w:rsid w:val="00A741C1"/>
    <w:rsid w:val="00A77FDD"/>
    <w:rsid w:val="00A879D3"/>
    <w:rsid w:val="00A96480"/>
    <w:rsid w:val="00AA0327"/>
    <w:rsid w:val="00AA2FA1"/>
    <w:rsid w:val="00AA4EAE"/>
    <w:rsid w:val="00AB27EC"/>
    <w:rsid w:val="00AB2D7E"/>
    <w:rsid w:val="00AB3909"/>
    <w:rsid w:val="00AD0D0B"/>
    <w:rsid w:val="00AD2569"/>
    <w:rsid w:val="00AE0EEC"/>
    <w:rsid w:val="00AE2A9F"/>
    <w:rsid w:val="00AE2C79"/>
    <w:rsid w:val="00AE61D3"/>
    <w:rsid w:val="00AF3999"/>
    <w:rsid w:val="00AF4E9A"/>
    <w:rsid w:val="00AF536D"/>
    <w:rsid w:val="00AF552E"/>
    <w:rsid w:val="00AF55DB"/>
    <w:rsid w:val="00AF5F87"/>
    <w:rsid w:val="00AF7B9F"/>
    <w:rsid w:val="00AF7C68"/>
    <w:rsid w:val="00B00008"/>
    <w:rsid w:val="00B02575"/>
    <w:rsid w:val="00B12AEB"/>
    <w:rsid w:val="00B14864"/>
    <w:rsid w:val="00B20ADA"/>
    <w:rsid w:val="00B23B6B"/>
    <w:rsid w:val="00B23E27"/>
    <w:rsid w:val="00B32774"/>
    <w:rsid w:val="00B328E8"/>
    <w:rsid w:val="00B34805"/>
    <w:rsid w:val="00B3652B"/>
    <w:rsid w:val="00B36E17"/>
    <w:rsid w:val="00B3791A"/>
    <w:rsid w:val="00B446F4"/>
    <w:rsid w:val="00B5046A"/>
    <w:rsid w:val="00B517D6"/>
    <w:rsid w:val="00B6559F"/>
    <w:rsid w:val="00B67674"/>
    <w:rsid w:val="00B67859"/>
    <w:rsid w:val="00B75584"/>
    <w:rsid w:val="00B7675D"/>
    <w:rsid w:val="00B92319"/>
    <w:rsid w:val="00B95A82"/>
    <w:rsid w:val="00B972EC"/>
    <w:rsid w:val="00BA1C6A"/>
    <w:rsid w:val="00BB20B3"/>
    <w:rsid w:val="00BB5710"/>
    <w:rsid w:val="00BB60CB"/>
    <w:rsid w:val="00BB7C77"/>
    <w:rsid w:val="00BB7F5F"/>
    <w:rsid w:val="00BC6F54"/>
    <w:rsid w:val="00BD2AC3"/>
    <w:rsid w:val="00BD5383"/>
    <w:rsid w:val="00BD5938"/>
    <w:rsid w:val="00BE090F"/>
    <w:rsid w:val="00BE0A49"/>
    <w:rsid w:val="00BE2DC3"/>
    <w:rsid w:val="00BE6D14"/>
    <w:rsid w:val="00BE7F17"/>
    <w:rsid w:val="00BF5476"/>
    <w:rsid w:val="00C00F6E"/>
    <w:rsid w:val="00C032A8"/>
    <w:rsid w:val="00C1721C"/>
    <w:rsid w:val="00C33DBB"/>
    <w:rsid w:val="00C3587F"/>
    <w:rsid w:val="00C37386"/>
    <w:rsid w:val="00C40E36"/>
    <w:rsid w:val="00C4211F"/>
    <w:rsid w:val="00C469FF"/>
    <w:rsid w:val="00C54DC1"/>
    <w:rsid w:val="00C56D4A"/>
    <w:rsid w:val="00C57E72"/>
    <w:rsid w:val="00C6740D"/>
    <w:rsid w:val="00C775A3"/>
    <w:rsid w:val="00C8035C"/>
    <w:rsid w:val="00C80822"/>
    <w:rsid w:val="00C944CF"/>
    <w:rsid w:val="00C94622"/>
    <w:rsid w:val="00CA0347"/>
    <w:rsid w:val="00CA6073"/>
    <w:rsid w:val="00CA7DEE"/>
    <w:rsid w:val="00CB3329"/>
    <w:rsid w:val="00CB5E57"/>
    <w:rsid w:val="00CC5D99"/>
    <w:rsid w:val="00CD2529"/>
    <w:rsid w:val="00CD450D"/>
    <w:rsid w:val="00CD76BD"/>
    <w:rsid w:val="00CE08EB"/>
    <w:rsid w:val="00CE791B"/>
    <w:rsid w:val="00CF2155"/>
    <w:rsid w:val="00CF760A"/>
    <w:rsid w:val="00D00D43"/>
    <w:rsid w:val="00D05D08"/>
    <w:rsid w:val="00D110D4"/>
    <w:rsid w:val="00D12887"/>
    <w:rsid w:val="00D153C9"/>
    <w:rsid w:val="00D16A1C"/>
    <w:rsid w:val="00D22F89"/>
    <w:rsid w:val="00D2509F"/>
    <w:rsid w:val="00D26766"/>
    <w:rsid w:val="00D314B3"/>
    <w:rsid w:val="00D32F94"/>
    <w:rsid w:val="00D35D32"/>
    <w:rsid w:val="00D45B77"/>
    <w:rsid w:val="00D47AD5"/>
    <w:rsid w:val="00D609F3"/>
    <w:rsid w:val="00D663BB"/>
    <w:rsid w:val="00D73CD0"/>
    <w:rsid w:val="00D73FC5"/>
    <w:rsid w:val="00D93D64"/>
    <w:rsid w:val="00D955A0"/>
    <w:rsid w:val="00D9589E"/>
    <w:rsid w:val="00DA1E48"/>
    <w:rsid w:val="00DA4A08"/>
    <w:rsid w:val="00DB24A5"/>
    <w:rsid w:val="00DB27FE"/>
    <w:rsid w:val="00DC52B1"/>
    <w:rsid w:val="00DC6805"/>
    <w:rsid w:val="00DD18BC"/>
    <w:rsid w:val="00DD3841"/>
    <w:rsid w:val="00DD406C"/>
    <w:rsid w:val="00DD5436"/>
    <w:rsid w:val="00DD55A2"/>
    <w:rsid w:val="00DE4A3B"/>
    <w:rsid w:val="00DF1A68"/>
    <w:rsid w:val="00DF24CB"/>
    <w:rsid w:val="00DF26C3"/>
    <w:rsid w:val="00DF4260"/>
    <w:rsid w:val="00DF54B5"/>
    <w:rsid w:val="00E00717"/>
    <w:rsid w:val="00E01419"/>
    <w:rsid w:val="00E05E09"/>
    <w:rsid w:val="00E23230"/>
    <w:rsid w:val="00E24668"/>
    <w:rsid w:val="00E259BA"/>
    <w:rsid w:val="00E2694B"/>
    <w:rsid w:val="00E338F3"/>
    <w:rsid w:val="00E33EFA"/>
    <w:rsid w:val="00E36D9D"/>
    <w:rsid w:val="00E445C4"/>
    <w:rsid w:val="00E455D0"/>
    <w:rsid w:val="00E5377F"/>
    <w:rsid w:val="00E5454D"/>
    <w:rsid w:val="00E55992"/>
    <w:rsid w:val="00E60A78"/>
    <w:rsid w:val="00E61F43"/>
    <w:rsid w:val="00E63627"/>
    <w:rsid w:val="00E641D6"/>
    <w:rsid w:val="00E6734A"/>
    <w:rsid w:val="00E70CFF"/>
    <w:rsid w:val="00E818B3"/>
    <w:rsid w:val="00E8226D"/>
    <w:rsid w:val="00E8299A"/>
    <w:rsid w:val="00E84BEA"/>
    <w:rsid w:val="00E8582B"/>
    <w:rsid w:val="00E87A74"/>
    <w:rsid w:val="00E91D21"/>
    <w:rsid w:val="00E956E1"/>
    <w:rsid w:val="00E95D3A"/>
    <w:rsid w:val="00E95E28"/>
    <w:rsid w:val="00E9673B"/>
    <w:rsid w:val="00ED3C6B"/>
    <w:rsid w:val="00ED749D"/>
    <w:rsid w:val="00EE308D"/>
    <w:rsid w:val="00EE3337"/>
    <w:rsid w:val="00EE6698"/>
    <w:rsid w:val="00EF0C49"/>
    <w:rsid w:val="00EF2F7D"/>
    <w:rsid w:val="00F01623"/>
    <w:rsid w:val="00F01983"/>
    <w:rsid w:val="00F05D9E"/>
    <w:rsid w:val="00F069B7"/>
    <w:rsid w:val="00F22690"/>
    <w:rsid w:val="00F23CB9"/>
    <w:rsid w:val="00F41605"/>
    <w:rsid w:val="00F50EF5"/>
    <w:rsid w:val="00F55D83"/>
    <w:rsid w:val="00F63EE8"/>
    <w:rsid w:val="00F72F98"/>
    <w:rsid w:val="00F75A01"/>
    <w:rsid w:val="00F814FF"/>
    <w:rsid w:val="00F845A8"/>
    <w:rsid w:val="00F932A9"/>
    <w:rsid w:val="00FA3F64"/>
    <w:rsid w:val="00FA63FE"/>
    <w:rsid w:val="00FB4539"/>
    <w:rsid w:val="00FD0261"/>
    <w:rsid w:val="00FD15C6"/>
    <w:rsid w:val="00FD381D"/>
    <w:rsid w:val="00FD4B35"/>
    <w:rsid w:val="00FD5836"/>
    <w:rsid w:val="00FE07D8"/>
    <w:rsid w:val="00FE0E09"/>
    <w:rsid w:val="00FE2674"/>
    <w:rsid w:val="00FE5635"/>
    <w:rsid w:val="00FE7DBE"/>
    <w:rsid w:val="00FF5A0E"/>
    <w:rsid w:val="00FF7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AF273"/>
  <w15:docId w15:val="{E73F57BB-8005-4314-8D61-F7E65990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49D"/>
    <w:pPr>
      <w:widowControl w:val="0"/>
      <w:jc w:val="both"/>
    </w:pPr>
    <w:rPr>
      <w:kern w:val="2"/>
      <w:sz w:val="24"/>
      <w:szCs w:val="24"/>
    </w:rPr>
  </w:style>
  <w:style w:type="paragraph" w:styleId="1">
    <w:name w:val="heading 1"/>
    <w:basedOn w:val="a"/>
    <w:next w:val="a"/>
    <w:autoRedefine/>
    <w:qFormat/>
    <w:rsid w:val="00C80822"/>
    <w:pPr>
      <w:keepNext/>
      <w:keepLines/>
      <w:spacing w:before="480" w:after="480" w:line="360" w:lineRule="auto"/>
      <w:jc w:val="center"/>
      <w:outlineLvl w:val="0"/>
    </w:pPr>
    <w:rPr>
      <w:rFonts w:eastAsia="黑体"/>
      <w:bCs/>
      <w:kern w:val="44"/>
      <w:sz w:val="36"/>
      <w:szCs w:val="44"/>
    </w:rPr>
  </w:style>
  <w:style w:type="paragraph" w:styleId="2">
    <w:name w:val="heading 2"/>
    <w:basedOn w:val="a"/>
    <w:next w:val="a"/>
    <w:autoRedefine/>
    <w:qFormat/>
    <w:rsid w:val="009917BD"/>
    <w:pPr>
      <w:keepNext/>
      <w:adjustRightInd w:val="0"/>
      <w:spacing w:before="480" w:after="480"/>
      <w:jc w:val="center"/>
      <w:textAlignment w:val="baseline"/>
      <w:outlineLvl w:val="1"/>
    </w:pPr>
    <w:rPr>
      <w:rFonts w:eastAsia="黑体"/>
      <w:bCs/>
      <w:kern w:val="0"/>
      <w:sz w:val="30"/>
      <w:szCs w:val="48"/>
      <w:lang w:val="en-GB" w:eastAsia="zh-TW"/>
    </w:rPr>
  </w:style>
  <w:style w:type="paragraph" w:styleId="3">
    <w:name w:val="heading 3"/>
    <w:basedOn w:val="a"/>
    <w:next w:val="a"/>
    <w:autoRedefine/>
    <w:qFormat/>
    <w:rsid w:val="00522997"/>
    <w:pPr>
      <w:keepNext/>
      <w:keepLines/>
      <w:spacing w:before="240" w:after="120"/>
      <w:ind w:firstLine="482"/>
      <w:outlineLvl w:val="2"/>
    </w:pPr>
    <w:rPr>
      <w:rFonts w:ascii="黑体" w:eastAsia="黑体" w:hAnsi="黑体"/>
      <w:bCs/>
      <w:sz w:val="32"/>
      <w:szCs w:val="32"/>
    </w:rPr>
  </w:style>
  <w:style w:type="paragraph" w:styleId="4">
    <w:name w:val="heading 4"/>
    <w:basedOn w:val="a"/>
    <w:next w:val="a"/>
    <w:autoRedefine/>
    <w:qFormat/>
    <w:rsid w:val="009917BD"/>
    <w:pPr>
      <w:keepNext/>
      <w:keepLines/>
      <w:spacing w:before="120" w:after="120"/>
      <w:ind w:firstLine="482"/>
      <w:outlineLvl w:val="3"/>
    </w:pPr>
    <w:rPr>
      <w:rFonts w:eastAsia="楷体_GB2312"/>
      <w:b/>
      <w:bCs/>
      <w:kern w:val="0"/>
      <w:sz w:val="26"/>
    </w:rPr>
  </w:style>
  <w:style w:type="paragraph" w:styleId="5">
    <w:name w:val="heading 5"/>
    <w:basedOn w:val="a"/>
    <w:next w:val="a"/>
    <w:autoRedefine/>
    <w:qFormat/>
    <w:rsid w:val="00C80822"/>
    <w:pPr>
      <w:ind w:firstLineChars="200" w:firstLine="200"/>
      <w:outlineLvl w:val="4"/>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1"/>
    <w:rsid w:val="0017631B"/>
  </w:style>
  <w:style w:type="paragraph" w:styleId="a3">
    <w:name w:val="Normal Indent"/>
    <w:basedOn w:val="a"/>
    <w:rsid w:val="0017631B"/>
    <w:pPr>
      <w:ind w:firstLine="420"/>
    </w:pPr>
  </w:style>
  <w:style w:type="paragraph" w:styleId="a4">
    <w:name w:val="footnote text"/>
    <w:basedOn w:val="a"/>
    <w:autoRedefine/>
    <w:semiHidden/>
    <w:rsid w:val="00C56D4A"/>
    <w:pPr>
      <w:snapToGrid w:val="0"/>
      <w:spacing w:line="280" w:lineRule="exact"/>
      <w:ind w:left="198" w:hanging="198"/>
      <w:jc w:val="left"/>
    </w:pPr>
    <w:rPr>
      <w:sz w:val="18"/>
      <w:szCs w:val="18"/>
    </w:rPr>
  </w:style>
  <w:style w:type="paragraph" w:customStyle="1" w:styleId="20">
    <w:name w:val="样式2"/>
    <w:basedOn w:val="a"/>
    <w:rsid w:val="0017631B"/>
    <w:rPr>
      <w:rFonts w:eastAsia="黑体"/>
    </w:rPr>
  </w:style>
  <w:style w:type="paragraph" w:styleId="a5">
    <w:name w:val="Title"/>
    <w:basedOn w:val="a"/>
    <w:qFormat/>
    <w:rsid w:val="0017631B"/>
    <w:pPr>
      <w:spacing w:before="480" w:after="480" w:line="420" w:lineRule="atLeast"/>
      <w:jc w:val="center"/>
      <w:outlineLvl w:val="0"/>
    </w:pPr>
    <w:rPr>
      <w:rFonts w:eastAsia="隶书" w:cs="Arial"/>
      <w:bCs/>
      <w:sz w:val="48"/>
      <w:szCs w:val="48"/>
    </w:rPr>
  </w:style>
  <w:style w:type="paragraph" w:styleId="a6">
    <w:name w:val="header"/>
    <w:basedOn w:val="a"/>
    <w:rsid w:val="0025240A"/>
    <w:pPr>
      <w:pBdr>
        <w:bottom w:val="single" w:sz="6" w:space="1" w:color="auto"/>
      </w:pBdr>
      <w:tabs>
        <w:tab w:val="center" w:pos="4153"/>
        <w:tab w:val="right" w:pos="8306"/>
      </w:tabs>
      <w:snapToGrid w:val="0"/>
      <w:jc w:val="center"/>
    </w:pPr>
    <w:rPr>
      <w:rFonts w:eastAsia="幼圆"/>
      <w:sz w:val="21"/>
      <w:szCs w:val="18"/>
    </w:rPr>
  </w:style>
  <w:style w:type="character" w:styleId="a7">
    <w:name w:val="Hyperlink"/>
    <w:basedOn w:val="a0"/>
    <w:rsid w:val="0017631B"/>
    <w:rPr>
      <w:color w:val="0000FF"/>
      <w:u w:val="single"/>
    </w:rPr>
  </w:style>
  <w:style w:type="paragraph" w:styleId="11">
    <w:name w:val="toc 1"/>
    <w:basedOn w:val="a"/>
    <w:next w:val="a"/>
    <w:autoRedefine/>
    <w:rsid w:val="00A16BF2"/>
    <w:pPr>
      <w:tabs>
        <w:tab w:val="right" w:leader="dot" w:pos="8494"/>
      </w:tabs>
      <w:spacing w:before="240"/>
    </w:pPr>
    <w:rPr>
      <w:rFonts w:eastAsia="黑体"/>
      <w:noProof/>
    </w:rPr>
  </w:style>
  <w:style w:type="paragraph" w:styleId="21">
    <w:name w:val="toc 2"/>
    <w:basedOn w:val="a"/>
    <w:next w:val="a"/>
    <w:autoRedefine/>
    <w:rsid w:val="00A16BF2"/>
    <w:pPr>
      <w:tabs>
        <w:tab w:val="right" w:leader="dot" w:pos="8494"/>
      </w:tabs>
      <w:ind w:left="482"/>
    </w:pPr>
  </w:style>
  <w:style w:type="paragraph" w:styleId="30">
    <w:name w:val="toc 3"/>
    <w:basedOn w:val="a"/>
    <w:next w:val="a"/>
    <w:autoRedefine/>
    <w:rsid w:val="00A16BF2"/>
    <w:pPr>
      <w:tabs>
        <w:tab w:val="right" w:leader="dot" w:pos="8494"/>
      </w:tabs>
      <w:ind w:left="964"/>
    </w:pPr>
  </w:style>
  <w:style w:type="paragraph" w:styleId="40">
    <w:name w:val="toc 4"/>
    <w:basedOn w:val="a"/>
    <w:next w:val="a"/>
    <w:autoRedefine/>
    <w:rsid w:val="00A16BF2"/>
    <w:pPr>
      <w:tabs>
        <w:tab w:val="right" w:leader="dot" w:pos="8494"/>
      </w:tabs>
      <w:ind w:left="1497"/>
    </w:pPr>
    <w:rPr>
      <w:noProof/>
    </w:rPr>
  </w:style>
  <w:style w:type="paragraph" w:styleId="a8">
    <w:name w:val="footer"/>
    <w:basedOn w:val="a"/>
    <w:autoRedefine/>
    <w:rsid w:val="008D7010"/>
    <w:pPr>
      <w:tabs>
        <w:tab w:val="center" w:pos="4153"/>
        <w:tab w:val="right" w:pos="8306"/>
      </w:tabs>
      <w:snapToGrid w:val="0"/>
      <w:spacing w:line="260" w:lineRule="exact"/>
      <w:ind w:left="198" w:hanging="198"/>
      <w:jc w:val="left"/>
    </w:pPr>
    <w:rPr>
      <w:sz w:val="18"/>
      <w:szCs w:val="18"/>
    </w:rPr>
  </w:style>
  <w:style w:type="paragraph" w:customStyle="1" w:styleId="a9">
    <w:name w:val="表格"/>
    <w:basedOn w:val="a"/>
    <w:rsid w:val="00ED749D"/>
    <w:pPr>
      <w:spacing w:line="360" w:lineRule="exact"/>
      <w:jc w:val="center"/>
    </w:pPr>
    <w:rPr>
      <w:noProof/>
      <w:sz w:val="21"/>
      <w:szCs w:val="21"/>
    </w:rPr>
  </w:style>
  <w:style w:type="paragraph" w:customStyle="1" w:styleId="aa">
    <w:name w:val="图表"/>
    <w:basedOn w:val="a"/>
    <w:autoRedefine/>
    <w:rsid w:val="00E6734A"/>
    <w:pPr>
      <w:spacing w:before="120" w:after="120"/>
      <w:jc w:val="center"/>
    </w:pPr>
    <w:rPr>
      <w:rFonts w:eastAsia="黑体"/>
      <w:sz w:val="21"/>
      <w:szCs w:val="21"/>
    </w:rPr>
  </w:style>
  <w:style w:type="paragraph" w:styleId="ab">
    <w:name w:val="caption"/>
    <w:basedOn w:val="a"/>
    <w:next w:val="a"/>
    <w:qFormat/>
    <w:rsid w:val="00ED749D"/>
    <w:pPr>
      <w:jc w:val="center"/>
    </w:pPr>
    <w:rPr>
      <w:rFonts w:ascii="Arial" w:eastAsia="黑体" w:hAnsi="Arial" w:cs="Arial"/>
      <w:sz w:val="20"/>
      <w:szCs w:val="20"/>
    </w:rPr>
  </w:style>
  <w:style w:type="paragraph" w:styleId="ac">
    <w:name w:val="Normal (Web)"/>
    <w:basedOn w:val="a"/>
    <w:rsid w:val="00CF2155"/>
    <w:pPr>
      <w:widowControl/>
      <w:spacing w:before="100" w:beforeAutospacing="1" w:after="100" w:afterAutospacing="1"/>
      <w:jc w:val="left"/>
    </w:pPr>
    <w:rPr>
      <w:rFonts w:ascii="宋体" w:hAnsi="宋体" w:cs="宋体"/>
      <w:kern w:val="0"/>
    </w:rPr>
  </w:style>
  <w:style w:type="paragraph" w:styleId="ad">
    <w:name w:val="Plain Text"/>
    <w:basedOn w:val="a"/>
    <w:link w:val="ae"/>
    <w:rsid w:val="00B11E0E"/>
    <w:rPr>
      <w:rFonts w:ascii="宋体" w:hAnsi="Courier New" w:cs="Courier New"/>
      <w:sz w:val="21"/>
      <w:szCs w:val="21"/>
    </w:rPr>
  </w:style>
  <w:style w:type="character" w:customStyle="1" w:styleId="ae">
    <w:name w:val="纯文本 字符"/>
    <w:basedOn w:val="a0"/>
    <w:link w:val="ad"/>
    <w:rsid w:val="00B11E0E"/>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479</Words>
  <Characters>2733</Characters>
  <Application>Microsoft Office Word</Application>
  <DocSecurity>0</DocSecurity>
  <Lines>22</Lines>
  <Paragraphs>6</Paragraphs>
  <ScaleCrop>false</ScaleCrop>
  <Company>Microsoft</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FtpDown</dc:creator>
  <cp:lastModifiedBy>万青</cp:lastModifiedBy>
  <cp:revision>2</cp:revision>
  <dcterms:created xsi:type="dcterms:W3CDTF">2019-04-24T01:35:00Z</dcterms:created>
  <dcterms:modified xsi:type="dcterms:W3CDTF">2019-04-24T01:35:00Z</dcterms:modified>
</cp:coreProperties>
</file>