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4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922"/>
        <w:gridCol w:w="1275"/>
        <w:gridCol w:w="6900"/>
        <w:gridCol w:w="2516"/>
        <w:gridCol w:w="567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44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48"/>
                <w:szCs w:val="48"/>
                <w:lang w:eastAsia="zh-CN"/>
              </w:rPr>
              <w:t>辽宁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48"/>
                <w:szCs w:val="48"/>
              </w:rPr>
              <w:t>葫芦岛市2018年博士后来葫挂职需求计划表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接收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挂任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6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岗位主要职责任务</w:t>
            </w: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所需专业方向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市环保局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副局长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按党组分工，分管业务工作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环保相关专业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市旅游发展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旅游委内部提升综合管理效率工作;起草旅游业规范性文件;组织实施旅游市场开发战略，组织全市旅游整体形象的宣传和重大推广活动;组织全市旅游资源的普查、规划、开发和相关保护工作。统筹协调全市旅游产业发展;监测全市旅游经济运行，指导全市旅游信息网络建设和管理;规范全市旅游市场秩序、监督管理服务质量;推动旅游国际交流与合作，指导全市对境外旅游市场的推广工作;组织实施全市旅游人才规划，指导旅游培训工作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旅游管理、历史文化旅游、经济类、计算机类、电子商务、市场营销、法律类、汉语言文学、工商管理类、国际贸易、外语类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市农委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副主任 </w:t>
            </w:r>
          </w:p>
        </w:tc>
        <w:tc>
          <w:tcPr>
            <w:tcW w:w="6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研究落实农村集体产权制度、农村土地“三权分置”等有关农村土地改革的相关政策</w:t>
            </w:r>
          </w:p>
        </w:tc>
        <w:tc>
          <w:tcPr>
            <w:tcW w:w="2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农村经济建设与管理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市财政局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业务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副局长</w:t>
            </w:r>
          </w:p>
        </w:tc>
        <w:tc>
          <w:tcPr>
            <w:tcW w:w="6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负责分管政府性债务管理、政府和社会资本合作模式（PPP）管理及政府投资基金管理等工作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债务、基金及金融管理方向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市政府金融办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全市金融业发展规划、指导，新型融资工具应用推广、金融风险研究及协调处置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金融学 、经济学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招商引资、技术咨询服务等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新材料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葫芦岛市投资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副总经理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发展海洋牧场、海洋养殖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海洋经济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渤海船舶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职业学院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副院长</w:t>
            </w:r>
          </w:p>
        </w:tc>
        <w:tc>
          <w:tcPr>
            <w:tcW w:w="6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分管科研和技术开发</w:t>
            </w: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葫芦岛文化旅游集团有限公司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投融资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副总经理</w:t>
            </w:r>
          </w:p>
        </w:tc>
        <w:tc>
          <w:tcPr>
            <w:tcW w:w="6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、负责集团投融资运作及管理。2、通过运作集团现有资本和多渠道投资融资，全面规划投融资项目，撰写投融资方案，促进集团资本增值，保证集团和项目资金需求。3、负责投资项目的筛选和甄别，实施尽职调查，提供分析报告，进行风险管理。4、负责集团项目的合作谈判。5、主持投融资项目的调研、分析、立项、风险评估、实施、监管全过程。6、及时掌握相关金融政策及行业发展情况的变化，提出应对措施。</w:t>
            </w: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市建交集团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副总经理（经营管理）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、负责规划和督导集团整体运营管理；2、制定年度生产经营目标并组织实施；3、组织制定并签订各企业、各部门年度经营管理责任制并执行考核；4、督办集团重点经营任务，汇总经营统计数据，编制经营情况报告。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536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0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536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0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536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0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536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0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536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0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536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0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536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0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536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0" w:type="dxa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F4"/>
    <w:rsid w:val="0001494F"/>
    <w:rsid w:val="000848C8"/>
    <w:rsid w:val="001B2C65"/>
    <w:rsid w:val="00504DD1"/>
    <w:rsid w:val="005C58F0"/>
    <w:rsid w:val="006170F4"/>
    <w:rsid w:val="00661B54"/>
    <w:rsid w:val="00792EA2"/>
    <w:rsid w:val="00C26CDB"/>
    <w:rsid w:val="00D2470F"/>
    <w:rsid w:val="4866094B"/>
    <w:rsid w:val="4E28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939</Words>
  <Characters>945</Characters>
  <Lines>7</Lines>
  <Paragraphs>2</Paragraphs>
  <TotalTime>15</TotalTime>
  <ScaleCrop>false</ScaleCrop>
  <LinksUpToDate>false</LinksUpToDate>
  <CharactersWithSpaces>949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2018-10-23T02:09:00Z</dcterms:created>
  <dc:creator>jjcyxr</dc:creator>
  <cp:lastModifiedBy>yenza</cp:lastModifiedBy>
  <dcterms:modified xsi:type="dcterms:W3CDTF">2018-10-25T08:33:40Z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