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sz w:val="24"/>
          <w:szCs w:val="24"/>
        </w:rPr>
      </w:pPr>
      <w:r>
        <w:rPr>
          <w:i w:val="0"/>
          <w:caps w:val="0"/>
          <w:color w:val="333333"/>
          <w:spacing w:val="8"/>
          <w:sz w:val="28"/>
          <w:szCs w:val="28"/>
          <w:bdr w:val="none" w:color="auto" w:sz="0" w:space="0"/>
          <w:shd w:val="clear" w:fill="FFFFFF"/>
        </w:rPr>
        <w:t>《法大研究生》2018年第1辑中文目录及内容摘要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Microsoft YaHei UI" w:hAnsi="Microsoft YaHei UI" w:eastAsia="Microsoft YaHei UI" w:cs="Microsoft YaHei UI"/>
          <w:i w:val="0"/>
          <w:caps w:val="0"/>
          <w:color w:val="333333"/>
          <w:spacing w:val="8"/>
          <w:sz w:val="24"/>
          <w:szCs w:val="24"/>
          <w:bdr w:val="none" w:color="auto" w:sz="0" w:space="0"/>
          <w:shd w:val="clear" w:fill="FFFFFF"/>
        </w:rPr>
      </w:pP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《法大研究生》2018年第1辑目录及摘要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Microsoft YaHei UI"/>
          <w:sz w:val="24"/>
          <w:szCs w:val="24"/>
          <w:lang w:eastAsia="zh-CN"/>
        </w:rPr>
      </w:pP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drawing>
          <wp:inline distT="0" distB="0" distL="114300" distR="114300">
            <wp:extent cx="304800" cy="3048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eastAsia="Microsoft YaHei UI"/>
          <w:sz w:val="24"/>
          <w:szCs w:val="24"/>
          <w:lang w:eastAsia="zh-CN"/>
        </w:rPr>
        <w:drawing>
          <wp:inline distT="0" distB="0" distL="114300" distR="114300">
            <wp:extent cx="5267960" cy="7150100"/>
            <wp:effectExtent l="0" t="0" r="8890" b="12700"/>
            <wp:docPr id="8" name="图片 8" descr="微信图片_2018091319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80913195005"/>
                    <pic:cNvPicPr>
                      <a:picLocks noChangeAspect="1"/>
                    </pic:cNvPicPr>
                  </pic:nvPicPr>
                  <pic:blipFill>
                    <a:blip r:embed="rId5"/>
                    <a:stretch>
                      <a:fillRect/>
                    </a:stretch>
                  </pic:blipFill>
                  <pic:spPr>
                    <a:xfrm>
                      <a:off x="0" y="0"/>
                      <a:ext cx="5267960" cy="7150100"/>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4"/>
        <w:keepNext w:val="0"/>
        <w:keepLines w:val="0"/>
        <w:widowControl/>
        <w:suppressLineNumbers w:val="0"/>
        <w:pBdr>
          <w:top w:val="none" w:color="77AAA9" w:sz="0" w:space="0"/>
          <w:left w:val="none" w:color="77AAA9" w:sz="0" w:space="0"/>
          <w:bottom w:val="none" w:color="77AAA9" w:sz="0" w:space="0"/>
          <w:right w:val="none" w:color="77AAA9" w:sz="0" w:space="0"/>
        </w:pBdr>
        <w:spacing w:before="0" w:beforeAutospacing="0" w:after="0" w:afterAutospacing="0"/>
        <w:ind w:left="0" w:right="0"/>
        <w:jc w:val="center"/>
        <w:rPr>
          <w:sz w:val="24"/>
          <w:szCs w:val="24"/>
        </w:rPr>
      </w:pP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特   约</w:t>
      </w:r>
    </w:p>
    <w:p>
      <w:pPr>
        <w:keepNext w:val="0"/>
        <w:keepLines w:val="0"/>
        <w:widowControl/>
        <w:suppressLineNumbers w:val="0"/>
        <w:spacing w:before="0" w:beforeAutospacing="0" w:after="0" w:afterAutospacing="0"/>
        <w:ind w:left="0" w:right="0"/>
        <w:jc w:val="left"/>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谎言、脚镣、照片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 ——女权主义法学方法论视角下的凯西案和吴英案成因分析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作者信息</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元轶，中国政法大学教授，法学博士，主要从事诉讼法学研究。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摘 要：</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本文以凯西案和吴英案无罪判决和有罪结论的比较为背景，交替采用父权和女权方法对同一研究对象进行复调式的分析。首先，通过庭审语言、判决书、刑事实体法、程序法的叙事学分析，分析了凯西案和吴英案中塑造撒谎者形象背后的父权因素及后续表现出来的父权特征，如自我强化、自我宣传、意图控制、有罪立场、判决书的程式化、漠视个案、法律价值的教义学僵化等；接着试图解释“以脚镣为标志的程序束缚”对实体判决强化导致被告人放弃死刑判决上诉这样异化的司法现象；最后阐明以“照片”为代表的媒体运作导致导致个案结果的逆转。论文将局部性、特殊性、偶然性的个案因素重新纳入刑事法学的研究谱系，从法学、语言学、新闻学等跨学科视角，阐述出父权制及男性对女性的统治乃是当代法律关系的关键之一。最终，完整诠释了上述个案在女权主义法学方法论视角下的成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关键词：</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女权主义法学   庭审语言   集资诈骗   死刑判决书   陪审团   无罪辩护   微观权力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论未成年被告人诉讼权利的程序保障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 ——以最高法院发布的典型案例为切入点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ascii="微软雅黑" w:hAnsi="微软雅黑" w:eastAsia="微软雅黑" w:cs="微软雅黑"/>
          <w:i w:val="0"/>
          <w:caps w:val="0"/>
          <w:color w:val="333333"/>
          <w:spacing w:val="8"/>
          <w:sz w:val="24"/>
          <w:szCs w:val="24"/>
          <w:bdr w:val="none" w:color="auto" w:sz="0" w:space="0"/>
          <w:shd w:val="clear" w:fill="FFFFFF"/>
        </w:rPr>
        <w:t>作者信息：</w:t>
      </w:r>
      <w:r>
        <w:rPr>
          <w:rFonts w:hint="eastAsia" w:ascii="微软雅黑" w:hAnsi="微软雅黑" w:eastAsia="微软雅黑" w:cs="微软雅黑"/>
          <w:i w:val="0"/>
          <w:caps w:val="0"/>
          <w:color w:val="333333"/>
          <w:spacing w:val="23"/>
          <w:sz w:val="24"/>
          <w:szCs w:val="24"/>
          <w:bdr w:val="none" w:color="auto" w:sz="0" w:space="0"/>
          <w:shd w:val="clear" w:fill="FFFFFF"/>
        </w:rPr>
        <w:t>吉冠浩，法学博士，北京航空航天大学法学院讲师，主要从事刑事诉讼法学研究。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微软雅黑" w:hAnsi="微软雅黑" w:eastAsia="微软雅黑" w:cs="微软雅黑"/>
          <w:i w:val="0"/>
          <w:caps w:val="0"/>
          <w:color w:val="333333"/>
          <w:spacing w:val="23"/>
          <w:sz w:val="24"/>
          <w:szCs w:val="24"/>
          <w:bdr w:val="none" w:color="auto" w:sz="0" w:space="0"/>
          <w:shd w:val="clear" w:fill="FFFFFF"/>
        </w:rPr>
        <w:t>摘 要：</w:t>
      </w:r>
      <w:r>
        <w:rPr>
          <w:rFonts w:hint="eastAsia" w:ascii="微软雅黑" w:hAnsi="微软雅黑" w:eastAsia="微软雅黑" w:cs="微软雅黑"/>
          <w:i w:val="0"/>
          <w:caps w:val="0"/>
          <w:color w:val="333333"/>
          <w:spacing w:val="23"/>
          <w:sz w:val="24"/>
          <w:szCs w:val="24"/>
          <w:bdr w:val="none" w:color="auto" w:sz="0" w:space="0"/>
          <w:shd w:val="clear" w:fill="FFFFFF"/>
        </w:rPr>
        <w:t>2012年刑诉法实施已满5年，以最高法院发布的典型案例为切入，对未成年被告人诉讼权利的程序保障问题加以研习。通过对63个典型案例的梳理，发现程序保障聚焦在“社会调查”、“合力关爱”、“配套措施”三个方面。其中，社会调查存在三种模式：司法行政机关调查模式，社会调查员模式和法院自行调查模式；“合力关爱”体现为：合适成年人到场、心理疏导和法庭教育；配套措施则包括：全程法律援助、不公开审理、严格限制适用逮捕措施和圆桌审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关键词：</w:t>
      </w:r>
      <w:r>
        <w:rPr>
          <w:rFonts w:hint="eastAsia" w:ascii="微软雅黑" w:hAnsi="微软雅黑" w:eastAsia="微软雅黑" w:cs="微软雅黑"/>
          <w:i w:val="0"/>
          <w:caps w:val="0"/>
          <w:color w:val="333333"/>
          <w:spacing w:val="8"/>
          <w:sz w:val="24"/>
          <w:szCs w:val="24"/>
          <w:bdr w:val="none" w:color="auto" w:sz="0" w:space="0"/>
          <w:shd w:val="clear" w:fill="FFFFFF"/>
        </w:rPr>
        <w:t>未成年人  诉讼权利  程序保障  最高法院  案例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兼收并蓄：比较视野中的民初平政院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作者信息：</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吴欢，南京师范大学法学院博士后研究人员，中国法治现代化研究院研究员。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摘 要：</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北洋政府平政院是在清末行政裁判院制度设想的基础上，以近代西方“一元制”与“二元制”行政审判体制类型为参照，并经过清末民初反复争议，最终建制成立的近代中国第一个行政审判机构。在比较法的视野中，民初平政院的制度设计具有兼收并蓄之特色，这体现为：一方面兼采近代各国行政诉讼模式之优长，另一方面创造性地于院内设肃政厅纠弹官吏，同时赋予平政院广泛的国家治理职能。这样的制度设计，使得民初平政院不仅仅是一个消极中立的官民纠纷裁判者，更是一个帝制走向共和之际国家治理秩序重构的积极参与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关键词：</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民初  平政院  行政审判  国家治理  比较法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4"/>
        <w:keepNext w:val="0"/>
        <w:keepLines w:val="0"/>
        <w:widowControl/>
        <w:suppressLineNumbers w:val="0"/>
        <w:pBdr>
          <w:top w:val="none" w:color="77AAA9" w:sz="0" w:space="0"/>
          <w:left w:val="none" w:color="77AAA9" w:sz="0" w:space="0"/>
          <w:bottom w:val="none" w:color="77AAA9" w:sz="0" w:space="0"/>
          <w:right w:val="none" w:color="77AAA9" w:sz="0" w:space="0"/>
        </w:pBdr>
        <w:spacing w:before="0" w:beforeAutospacing="0" w:after="0" w:afterAutospacing="0"/>
        <w:ind w:left="0" w:right="0"/>
        <w:jc w:val="center"/>
        <w:rPr>
          <w:sz w:val="24"/>
          <w:szCs w:val="24"/>
        </w:rPr>
      </w:pP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前沿聚焦：“一带一路”与民法典编纂</w:t>
      </w:r>
    </w:p>
    <w:p>
      <w:pPr>
        <w:keepNext w:val="0"/>
        <w:keepLines w:val="0"/>
        <w:widowControl/>
        <w:suppressLineNumbers w:val="0"/>
        <w:spacing w:before="0" w:beforeAutospacing="0" w:after="0" w:afterAutospacing="0"/>
        <w:ind w:left="0" w:right="0"/>
        <w:jc w:val="left"/>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“一带一路”倡议下数据的利用与保护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   ——以构建一种新型财产权为视角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作者信息：</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兰楠，中国政法大学民商经济法学院经济法学专业2016级博士研究生。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摘 要：</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一带一路”倡议下，各国固有的政治、经济、社会、文化差异导致跨国、跨地区的数据采集、存储、利用、权属等问题变得更加复杂，厘清基础问题尤为必要。现有法律框架下，单方面关注个人信息保护、解决用户焦虑并不足以回应数据经济发展的实际需求。数据新型财产权包括自然人对个人信息的财产权和数据经营者对其收集、分析、创新数据的方法和收集、分析、创新后数据的财产权。基于该财产权，自然人可以要求数据经营者支付对价，数据经营者可以在获得授权的范围内并按照技术处理要求对数据进行转售、分析、创新，以获取财产利益。在当前数据经济的洪流中，对大数据的分析利用不仅仅是权利，更是一种义务和职责，大数据立法是以数据化新型资产使用与交易实际需求为核心的系统性的法律制度变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关键词：</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数据  数据化新型资产  数据新型财产权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“一带一路”倡议下知识产权平行进口的法律问题研究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作者信息：</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郁舜，中国政法大学民商经济法学院2016级知识产权法博士研究生，主要从事知识产权法律制度研究。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摘 要：</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随着“一带一路”倡议下各国间贸易往来的日益密切，平行进口问题的重要性将日益凸显。结合国家利益考量，我国应在平行进口法律问题上坚持采取国际穷竭原则。但在权利人不同一、知识产权商品质量或包装发生变化等特殊情形下，由于可能涉及权利人或消费者的重大法益的变化，司法裁判中则应进行特殊考虑，确认其违法性，以达致国家、公众与产业间利益的有效平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关键词：</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“一带一路” 倡议  平行进口  权利用尽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对《民法总则》第185条的规范分析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作者信息：</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魏帅，中国政法大学中欧法学院比较法方向硕士，主要从事宪法和行政法研究。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摘 要：</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民法总则》185条的出现在学界引起轩然大波，大多数观点认为它作为一项人格权益条款，违反了民法之平等原则，对英雄烈士的人格给予了特殊的保护。但假如这诸多批判观点的基本立场存在法理错误之时，所有对它的批判也将难以立足。因此笔者将首先对文中的研究方法做一说明；其次将逐一对185条持人格权益说批判观点的诸多逻辑和法理之难以自洽的地方进行分析；再次进而根据侵权法的一般原理和185的规范特征进行分析并提出社会公共利益说；最后立足于社会公共利益说之上，对185条展开尽可能的批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关键词：</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民法总则185条  英雄烈士  人格权  社会公共利益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人格权法与民法知识谱系的分与立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作者信息：</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刘亚东，中国政法大学民商经济法学院民商法学专业2017级博士研究生。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摘 要：</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在传统民法上，民法规制的重点是财产法和家庭法。人格权法与民法所共享的哲学基础和知识谱系存在差异，导致人格权法无法嵌入民法典中。在法典编纂的初期，人格权中的显像是“物质性人格要素”，受时代的局限，“标表性和精神性的人格要素”隐而不显。随着经济社会的发展，人格权的内涵由原来的消极性权能转变为具有了类似物权性质的积极性权能。人格权内涵变化的实质是其“标表性和精神性人格要素”的转变，“物质性人格权要素”一如既往。因此在民法表达上，尤其是在法典编纂技术上要做到一以贯之，保持理论基础的一致性，同时还要兼顾既有的立法习惯和传统。人格权的特殊性决定了民法典不可能像规定物权那样模式统一。对于人格权的民法表达，应该区分如上两类不同的人格要素分别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关键词：</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人格权  民法  知识谱系  民法表达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知识产权权利特征和权利体系的立法研究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——以构建《民法分则》中“知识产权法总则”为目标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作者信息：</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王进，中国政法大学民商经济法学院民商法学专业2016级博士研究生。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摘 要：</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民法典的设立不在于“重述”民事特别法的各项规则，而在于为民事特别法设立一般法。知识产权法在我国并无一般法，在各项特别法之上，有必要明确知识产权有别于其他民事权利的区分标准——知识产权的权利特征，也有必要明确各项知识产权之间的关系——知识产权的权利体系。对这些问题的回应构成知识产权法的“总则”。这是《民法总则》为《民法分则》遗留下的任务，也是《民法分则》发挥其在知识产权领域重大作用的历史机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关键词：</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民法分则  知识产权法总则  权利特征  权利体系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4"/>
        <w:keepNext w:val="0"/>
        <w:keepLines w:val="0"/>
        <w:widowControl/>
        <w:suppressLineNumbers w:val="0"/>
        <w:pBdr>
          <w:top w:val="none" w:color="77AAA9" w:sz="0" w:space="0"/>
          <w:left w:val="none" w:color="77AAA9" w:sz="0" w:space="0"/>
          <w:bottom w:val="none" w:color="77AAA9" w:sz="0" w:space="0"/>
          <w:right w:val="none" w:color="77AAA9" w:sz="0" w:space="0"/>
        </w:pBdr>
        <w:spacing w:before="0" w:beforeAutospacing="0" w:after="0" w:afterAutospacing="0"/>
        <w:ind w:left="0" w:right="0"/>
        <w:jc w:val="center"/>
        <w:rPr>
          <w:sz w:val="24"/>
          <w:szCs w:val="24"/>
        </w:rPr>
      </w:pP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民商纵横</w:t>
      </w:r>
    </w:p>
    <w:p>
      <w:pPr>
        <w:keepNext w:val="0"/>
        <w:keepLines w:val="0"/>
        <w:widowControl/>
        <w:suppressLineNumbers w:val="0"/>
        <w:spacing w:before="0" w:beforeAutospacing="0" w:after="0" w:afterAutospacing="0"/>
        <w:ind w:left="0" w:right="0"/>
        <w:jc w:val="left"/>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600"/>
        <w:jc w:val="center"/>
        <w:rPr>
          <w:sz w:val="24"/>
          <w:szCs w:val="24"/>
        </w:rPr>
      </w:pPr>
      <w:r>
        <w:rPr>
          <w:rStyle w:val="6"/>
          <w:rFonts w:hint="eastAsia" w:ascii="Microsoft YaHei UI" w:hAnsi="Microsoft YaHei UI" w:eastAsia="Microsoft YaHei UI" w:cs="Microsoft YaHei UI"/>
          <w:i w:val="0"/>
          <w:caps w:val="0"/>
          <w:color w:val="333333"/>
          <w:spacing w:val="15"/>
          <w:sz w:val="24"/>
          <w:szCs w:val="24"/>
          <w:bdr w:val="none" w:color="auto" w:sz="0" w:space="0"/>
          <w:shd w:val="clear" w:fill="FFFFFF"/>
        </w:rPr>
        <w:t>论欺诈婚姻的救济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600"/>
        <w:jc w:val="center"/>
        <w:rPr>
          <w:sz w:val="24"/>
          <w:szCs w:val="24"/>
        </w:rPr>
      </w:pPr>
      <w:r>
        <w:rPr>
          <w:rStyle w:val="6"/>
          <w:rFonts w:hint="eastAsia" w:ascii="Microsoft YaHei UI" w:hAnsi="Microsoft YaHei UI" w:eastAsia="Microsoft YaHei UI" w:cs="Microsoft YaHei UI"/>
          <w:i w:val="0"/>
          <w:caps w:val="0"/>
          <w:color w:val="333333"/>
          <w:spacing w:val="15"/>
          <w:sz w:val="24"/>
          <w:szCs w:val="24"/>
          <w:bdr w:val="none" w:color="auto" w:sz="0" w:space="0"/>
          <w:shd w:val="clear" w:fill="FFFFFF"/>
        </w:rPr>
        <w:t>——以意思自由为视角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15"/>
          <w:sz w:val="24"/>
          <w:szCs w:val="24"/>
          <w:bdr w:val="none" w:color="auto" w:sz="0" w:space="0"/>
          <w:shd w:val="clear" w:fill="FFFFFF"/>
        </w:rPr>
        <w:t>作者信息：</w:t>
      </w:r>
      <w:r>
        <w:rPr>
          <w:rFonts w:hint="eastAsia" w:ascii="Microsoft YaHei UI" w:hAnsi="Microsoft YaHei UI" w:eastAsia="Microsoft YaHei UI" w:cs="Microsoft YaHei UI"/>
          <w:i w:val="0"/>
          <w:caps w:val="0"/>
          <w:color w:val="333333"/>
          <w:spacing w:val="15"/>
          <w:sz w:val="24"/>
          <w:szCs w:val="24"/>
          <w:bdr w:val="none" w:color="auto" w:sz="0" w:space="0"/>
          <w:shd w:val="clear" w:fill="FFFFFF"/>
        </w:rPr>
        <w:t>刘宇，四川大学法学院民商法专业2016级硕士研究生。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15"/>
          <w:sz w:val="24"/>
          <w:szCs w:val="24"/>
          <w:bdr w:val="none" w:color="auto" w:sz="0" w:space="0"/>
          <w:shd w:val="clear" w:fill="FFFFFF"/>
        </w:rPr>
        <w:t>摘 要：</w:t>
      </w:r>
      <w:r>
        <w:rPr>
          <w:rFonts w:hint="eastAsia" w:ascii="Microsoft YaHei UI" w:hAnsi="Microsoft YaHei UI" w:eastAsia="Microsoft YaHei UI" w:cs="Microsoft YaHei UI"/>
          <w:i w:val="0"/>
          <w:caps w:val="0"/>
          <w:color w:val="333333"/>
          <w:spacing w:val="15"/>
          <w:sz w:val="24"/>
          <w:szCs w:val="24"/>
          <w:bdr w:val="none" w:color="auto" w:sz="0" w:space="0"/>
          <w:shd w:val="clear" w:fill="FFFFFF"/>
        </w:rPr>
        <w:t>欺诈婚姻行为是对他人的婚姻自由和意思自治极为严重的侵害，法律应该为欺诈婚姻的受害者提供救济回复其意志自由。我国婚姻法虽然未对欺诈婚姻予以特别规定，但民法总则关于欺诈法律行为的一般条款构成对法官的概括授权。通过将民法总则中欺诈法律行为的一般条款引入婚姻法领域，并结合婚姻的个性要求可以解决欺诈婚姻中受害人意思自由和婚姻自由权的保护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15"/>
          <w:sz w:val="24"/>
          <w:szCs w:val="24"/>
          <w:bdr w:val="none" w:color="auto" w:sz="0" w:space="0"/>
          <w:shd w:val="clear" w:fill="FFFFFF"/>
        </w:rPr>
        <w:t>关键词：</w:t>
      </w:r>
      <w:r>
        <w:rPr>
          <w:rFonts w:hint="eastAsia" w:ascii="Microsoft YaHei UI" w:hAnsi="Microsoft YaHei UI" w:eastAsia="Microsoft YaHei UI" w:cs="Microsoft YaHei UI"/>
          <w:i w:val="0"/>
          <w:caps w:val="0"/>
          <w:color w:val="333333"/>
          <w:spacing w:val="15"/>
          <w:sz w:val="24"/>
          <w:szCs w:val="24"/>
          <w:bdr w:val="none" w:color="auto" w:sz="0" w:space="0"/>
          <w:shd w:val="clear" w:fill="FFFFFF"/>
        </w:rPr>
        <w:t>欺诈婚姻  意思自由 民法总则概括授权目的限缩</w:t>
      </w:r>
      <w:r>
        <w:rPr>
          <w:rFonts w:hint="eastAsia" w:ascii="宋体" w:hAnsi="宋体" w:eastAsia="宋体" w:cs="宋体"/>
          <w:i w:val="0"/>
          <w:caps w:val="0"/>
          <w:color w:val="333333"/>
          <w:spacing w:val="8"/>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从债权让与视角思考资产证券化的相关法律问题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作者信息：</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陈惠蓉，中国政法大学民商经济法学院经济法学专业2016级博士研究生。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摘 要：</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资产证券化中基础资产转移的本质是债权让与。本文从债权让与的要件出发，阐述了资产证券化在主体和客体方面的法律障碍：即商业银行能否向SPV转让基础资产；基础资产的合同当事人在合同中约定不得转让合同债权之情形下基础资产是否还能正常出售，并提出了解决思路。关于债权让与的内部效力，SPV在受让主债权的同时也受让从债权——担保权利后，是否还要办理该附属担保权利的变更登记手续的问题，本文从登记的作用和意义角度说明无须再登记的合理之处和法理根据；关于债权让与的外部效力，为了既保障债务人的知情权和第三人的利益，又能降低通知的成本，本文建议在资产证券化的特别立法中将登记方式和公告方式相结合，以登记作为对抗第三人的要件，以公告作为对债务人生效的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关键词：</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资产证券化   债权让与   担保权利   登记   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jc w:val="center"/>
        <w:rPr>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团体法视角下股东会决议不成立研究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15" w:lineRule="atLeast"/>
        <w:ind w:left="0" w:right="0"/>
        <w:jc w:val="cente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8" w:lineRule="atLeast"/>
        <w:ind w:left="0" w:right="0"/>
        <w:jc w:val="both"/>
        <w:rPr>
          <w:sz w:val="24"/>
          <w:szCs w:val="24"/>
        </w:rPr>
      </w:pPr>
      <w:r>
        <w:rPr>
          <w:rStyle w:val="6"/>
          <w:rFonts w:hint="eastAsia" w:ascii="微软雅黑" w:hAnsi="微软雅黑" w:eastAsia="微软雅黑" w:cs="微软雅黑"/>
          <w:i w:val="0"/>
          <w:caps w:val="0"/>
          <w:color w:val="333333"/>
          <w:spacing w:val="8"/>
          <w:sz w:val="24"/>
          <w:szCs w:val="24"/>
          <w:bdr w:val="none" w:color="auto" w:sz="0" w:space="0"/>
          <w:shd w:val="clear" w:fill="FFFFFF"/>
        </w:rPr>
        <w:t>作者信息：</w:t>
      </w:r>
      <w:r>
        <w:rPr>
          <w:rFonts w:hint="eastAsia" w:ascii="微软雅黑" w:hAnsi="微软雅黑" w:eastAsia="微软雅黑" w:cs="微软雅黑"/>
          <w:i w:val="0"/>
          <w:caps w:val="0"/>
          <w:color w:val="333333"/>
          <w:spacing w:val="23"/>
          <w:sz w:val="24"/>
          <w:szCs w:val="24"/>
          <w:bdr w:val="none" w:color="auto" w:sz="0" w:space="0"/>
          <w:shd w:val="clear" w:fill="FFFFFF"/>
        </w:rPr>
        <w:t>潘朗峰，中国政法大学民商经济法学院民商法学专业2016级硕士研究生。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8" w:lineRule="atLeast"/>
        <w:ind w:left="0" w:right="0"/>
        <w:jc w:val="both"/>
        <w:rPr>
          <w:sz w:val="24"/>
          <w:szCs w:val="24"/>
        </w:rPr>
      </w:pPr>
      <w:r>
        <w:rPr>
          <w:rStyle w:val="6"/>
          <w:rFonts w:hint="eastAsia" w:ascii="微软雅黑" w:hAnsi="微软雅黑" w:eastAsia="微软雅黑" w:cs="微软雅黑"/>
          <w:i w:val="0"/>
          <w:caps w:val="0"/>
          <w:color w:val="333333"/>
          <w:spacing w:val="23"/>
          <w:sz w:val="24"/>
          <w:szCs w:val="24"/>
          <w:bdr w:val="none" w:color="auto" w:sz="0" w:space="0"/>
          <w:shd w:val="clear" w:fill="FFFFFF"/>
        </w:rPr>
        <w:t>摘 要</w:t>
      </w:r>
      <w:r>
        <w:rPr>
          <w:rFonts w:hint="eastAsia" w:ascii="微软雅黑" w:hAnsi="微软雅黑" w:eastAsia="微软雅黑" w:cs="微软雅黑"/>
          <w:i w:val="0"/>
          <w:caps w:val="0"/>
          <w:color w:val="333333"/>
          <w:spacing w:val="23"/>
          <w:sz w:val="24"/>
          <w:szCs w:val="24"/>
          <w:bdr w:val="none" w:color="auto" w:sz="0" w:space="0"/>
          <w:shd w:val="clear" w:fill="FFFFFF"/>
        </w:rPr>
        <w:t>：通说认为决议是一种法律行为，《民法总则》第134条第2款也承认决议是一种法律行为，在学理和立法上形成的看似一致的认识，实质上蕴含着巨大漏洞。尽管如此，从法教义学的角度，股东会决议是法律行为中的一种，但须承认其团体法品格。2017年9月1日实施的《公司法解释四》新增决议不成立，很大程度上完善了决议瑕疵制度，也使股东会决议规范更趋向于法律行为制度框架之内。但是，应指出的是，决议不成立并不等同于法律行为不成立，同时，通过大量司法案例的分析，决议不成立的性质应是具有严重程序瑕疵的决议效力。另外，参照《韩国商法典》，决议不成立、决议撤销、裁量驳回制度、决议无效构成的决议瑕疵制度可确定决议不成立的外延。除明确决议不成立的性质和外延之外，决议不成立制度应以团体法原理及团体法的具体规范之一——公司法为基础，同时，以团体法下的决议特性充实和完善其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68" w:lineRule="atLeast"/>
        <w:ind w:left="0" w:right="0"/>
        <w:jc w:val="both"/>
        <w:rPr>
          <w:sz w:val="24"/>
          <w:szCs w:val="24"/>
        </w:rPr>
      </w:pPr>
      <w:r>
        <w:rPr>
          <w:rStyle w:val="6"/>
          <w:rFonts w:hint="eastAsia" w:ascii="微软雅黑" w:hAnsi="微软雅黑" w:eastAsia="微软雅黑" w:cs="微软雅黑"/>
          <w:i w:val="0"/>
          <w:caps w:val="0"/>
          <w:color w:val="333333"/>
          <w:spacing w:val="23"/>
          <w:sz w:val="24"/>
          <w:szCs w:val="24"/>
          <w:bdr w:val="none" w:color="auto" w:sz="0" w:space="0"/>
          <w:shd w:val="clear" w:fill="FFFFFF"/>
        </w:rPr>
        <w:t>关键词：</w:t>
      </w:r>
      <w:r>
        <w:rPr>
          <w:rFonts w:hint="eastAsia" w:ascii="微软雅黑" w:hAnsi="微软雅黑" w:eastAsia="微软雅黑" w:cs="微软雅黑"/>
          <w:i w:val="0"/>
          <w:caps w:val="0"/>
          <w:color w:val="333333"/>
          <w:spacing w:val="23"/>
          <w:sz w:val="24"/>
          <w:szCs w:val="24"/>
          <w:bdr w:val="none" w:color="auto" w:sz="0" w:space="0"/>
          <w:shd w:val="clear" w:fill="FFFFFF"/>
        </w:rPr>
        <w:t>决议  团体法  决议不成立  决议瑕疵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相邻环境侵权的私法规范模型之建构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作者：</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柴云乐：中国政法大学民商经济法学院2013级环境法学硕士研究生。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摘 要：</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相邻环境侵权包括居民的生活性污染、居民的生产性污染、企业的生产性污染（受侵权方为居民）和企业的生产性污染（受侵权方为企业）四种类型。精确界定“相邻”难度较大，部分相邻环境侵权适用《民法通则》和《物权法》存在障碍。由于排污者与受害者在知识、财力、社会资源等方面的差距，《侵权责任法》的环境侵权特殊规则在部分相邻环境侵权中的适用可以更好的保护相邻环境受害者。相邻环境侵权语境下的恢复原状为拟制意义上的恢复原状。应在考虑污染源与受害者空间距离的基础上，以侵权类型为基点建构相邻环境侵权私法规范模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关键词：</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相邻环境侵权  侵权责任法  恢复原状  举证责任  私法规范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4"/>
        <w:keepNext w:val="0"/>
        <w:keepLines w:val="0"/>
        <w:widowControl/>
        <w:suppressLineNumbers w:val="0"/>
        <w:pBdr>
          <w:top w:val="none" w:color="77AAA9" w:sz="0" w:space="0"/>
          <w:left w:val="none" w:color="77AAA9" w:sz="0" w:space="0"/>
          <w:bottom w:val="none" w:color="77AAA9" w:sz="0" w:space="0"/>
          <w:right w:val="none" w:color="77AAA9" w:sz="0" w:space="0"/>
        </w:pBdr>
        <w:spacing w:before="0" w:beforeAutospacing="0" w:after="0" w:afterAutospacing="0"/>
        <w:ind w:left="0" w:right="0"/>
        <w:jc w:val="center"/>
        <w:rPr>
          <w:sz w:val="24"/>
          <w:szCs w:val="24"/>
        </w:rPr>
      </w:pP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刑事论坛</w:t>
      </w:r>
    </w:p>
    <w:p>
      <w:pPr>
        <w:keepNext w:val="0"/>
        <w:keepLines w:val="0"/>
        <w:widowControl/>
        <w:suppressLineNumbers w:val="0"/>
        <w:spacing w:before="0" w:beforeAutospacing="0" w:after="0" w:afterAutospacing="0"/>
        <w:ind w:left="0" w:right="0"/>
        <w:jc w:val="left"/>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想象竞合是法条竞合的一种类型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作者信息：</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刘韶辉，中国政法大学刑事司法学院刑法学专业2015博士研究生。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摘 要：</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法条竞合不是法条之间单纯的逻辑关系，而是具体到个案时评价意义上的法律适用关系，包括特别关系法条竞合与互补关系法条竞合，我国传统想象竞合是互补关系法条竞合。可以分三步判断是否为 “一行为”，即“从社会观念判断→从构成要件判断→综合的评价”，不属于“一行为”的便为“数行为”。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关键词：</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法条竞合  特别关系法条竞合  互补关系法条竞合  想象竞合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36" w:lineRule="atLeast"/>
        <w:ind w:left="0" w:right="0"/>
        <w:jc w:val="center"/>
        <w:rPr>
          <w:b/>
          <w:sz w:val="24"/>
          <w:szCs w:val="24"/>
        </w:rPr>
      </w:pPr>
      <w:r>
        <w:rPr>
          <w:rStyle w:val="6"/>
          <w:b/>
          <w:i w:val="0"/>
          <w:caps w:val="0"/>
          <w:color w:val="333333"/>
          <w:spacing w:val="8"/>
          <w:sz w:val="24"/>
          <w:szCs w:val="24"/>
          <w:bdr w:val="none" w:color="auto" w:sz="0" w:space="0"/>
          <w:shd w:val="clear" w:fill="FFFFFF"/>
        </w:rPr>
        <w:t>道德推脱在暴力犯攻击行为与刑罚心理效应中的中介作用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作者信息：</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王晓楠，中国政法大学刑事司法学院刑法学专业2014级博士研究生；乐国安，南开大学周恩来政府管理学院社会心理学系教授，中国政法大学刑事司法学院刑法学专业犯罪心理学方向博士生导师。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摘  要：</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该研究主要探讨刑罚心理效应、道德推脱和攻击行为之间的关系。通过问卷研究的方法对265名在押暴力犯的道德推脱水平、攻击行为和刑罚心理效应之间的关系进行研究发现，暴力犯的道德推脱机制与攻击行为之间存在显著的正向相关关系，与刑罚心理效应之间有显著的负向相关关系，刑罚心理效应与攻击行为之间也有显著的负向相关。道德推脱在刑罚心理效应和攻击行为之间起到部分中介作用。研究结果表明，道德推脱水平越高的个罪犯，更加容易表现出更多的攻击行为；刑罚心理效应水平越高的罪犯，越少表现出攻击行为；而且刑罚心理效应越高的罪犯，越少地激活其道德推脱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关键词：</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道德推脱 攻击行为 刑罚心理效应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4"/>
        <w:keepNext w:val="0"/>
        <w:keepLines w:val="0"/>
        <w:widowControl/>
        <w:suppressLineNumbers w:val="0"/>
        <w:pBdr>
          <w:top w:val="none" w:color="77AAA9" w:sz="0" w:space="0"/>
          <w:left w:val="none" w:color="77AAA9" w:sz="0" w:space="0"/>
          <w:bottom w:val="none" w:color="77AAA9" w:sz="0" w:space="0"/>
          <w:right w:val="none" w:color="77AAA9" w:sz="0" w:space="0"/>
        </w:pBdr>
        <w:spacing w:before="0" w:beforeAutospacing="0" w:after="0" w:afterAutospacing="0"/>
        <w:ind w:left="0" w:right="0"/>
        <w:jc w:val="center"/>
        <w:rPr>
          <w:sz w:val="24"/>
          <w:szCs w:val="24"/>
        </w:rPr>
      </w:pP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诉讼论丛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论法院变更起诉罪名的规范和完善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作者信息：</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娄秋琴，中国政法大学证据科学研究院诉讼法学专业2017级博士研究生。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摘  要：</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 2013年最高人民法院《关于执行〈中华人民共和国刑事诉讼法〉若干问题的解释》的出台对于法院变更起诉罪名问题的研究提供了新的契机，但规定仍然过于笼统，不具有操作性，有必要从理论和各国司法实践进行深入分析，从而对中国法院变更起诉罪名的做法进行进一步规范和完善，立法规定法院变更起诉罪名以不妨碍起诉事实的同一性为限，规范起诉书内容，增设“告知——防御”程序,给予被告人和辩护人充分的防御准备，在立法和司法层面做好规范化设计，这样不但不会背离诉讼原则，还可以提高效率，更好地实现诉讼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关键词：</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起诉  变更罪名  辩护权  诉审同一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审判中心语境下认罪认罚从宽程序系统化完善路径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作者信息：</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刘奕君，中国政法大学司法文明协同创新中心诉讼法学专业2017级博士研究生。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摘 要:</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完善认罪认罚从宽程序是认罪认罚从宽制度改革的题中之义，与“以审判为中心”的诉讼制度改革是司法改革的两大方向。我国认罪认罚从宽从宽程序层次不清、未成体系，呈现碎片化样态。为实现认罪认罚从宽程序多元化、层次化、系统化发展，应引入认罪协商程序以弥补我国刑事诉讼中“被追诉人—国家”合意模式的缺失；强化审前程序的分流功能以控制进入审判阶段的案件数量；改进速裁程序、简易程序、普通程序简化审以实现审判程序阶梯化构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6"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关键词: </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认罪认罚从宽程序  认罪协商  被追诉人—国家合意模式审前分流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特邀调解下的法院中心现象辨析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——以美国附设ADR为参照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作者信息：</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蒋莉苹，中国政法大学民商经济法学院民事诉讼法学专业2016级博士研究生。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摘 要：</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特邀调解与美国附设ADR在外观上均表现出法院中心地位，特邀调解以身份依附、结果依附及信赖依附为具体表现；附设ADR则是模拟法院审判的过程依附。由于我国与美国在民诉法理念及法治状态上存在结果导向与过程导向、接近真实与正当程序、法化与非法化的区别，并对司法属性存在不同解读，特邀调解与附设ADR外在表现的趋同并不会产生价值评价的一致，附设ADR因司法属性中的强制性受到批判，特邀调解因司法</w:t>
      </w:r>
      <w:bookmarkStart w:id="0" w:name="_GoBack"/>
      <w:bookmarkEnd w:id="0"/>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属性中的司法性而得到认可。把ADR细分为公力ADR与私力ADR后，法院中心的现实状态与学界对调解司法属性态度之间的矛盾可以获得暂时平衡。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关键词：</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特邀调解  法院中心  附设ADR</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4"/>
        <w:keepNext w:val="0"/>
        <w:keepLines w:val="0"/>
        <w:widowControl/>
        <w:suppressLineNumbers w:val="0"/>
        <w:pBdr>
          <w:top w:val="none" w:color="77AAA9" w:sz="0" w:space="0"/>
          <w:left w:val="none" w:color="77AAA9" w:sz="0" w:space="0"/>
          <w:bottom w:val="none" w:color="77AAA9" w:sz="0" w:space="0"/>
          <w:right w:val="none" w:color="77AAA9" w:sz="0" w:space="0"/>
        </w:pBdr>
        <w:spacing w:before="0" w:beforeAutospacing="0" w:after="0" w:afterAutospacing="0"/>
        <w:ind w:left="0" w:right="0"/>
        <w:jc w:val="center"/>
        <w:rPr>
          <w:sz w:val="24"/>
          <w:szCs w:val="24"/>
        </w:rPr>
      </w:pP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交叉研究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15" w:lineRule="atLeast"/>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刑事社会学派刑法思想哲学批判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作者信息：</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王天若，中国政法大学刑事司法学院刑法学方向博士研究生；胡晓东，聊城职业技术学院讲师。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摘 要：</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刑事社会学派在思想逻辑上有着天然的缺陷，其理性主义的观点因为忽视人类理性的有限性而无法避免暴政和恶法；权威性制定的观点因为忽略真正的法律是人类的正当行为规则，给公权力侵犯个人自由和权利提供了充分的借口；社会实效观点中刑罚的目的思想因为会导致立法者为了特定预期的结果而去立法，只会扰乱人类社会自生自发秩序的正常运转；西原春夫折衷主义的观点力求引入自然法的思想从而避免法实证主义的错误，但最终仍然落入刑法是立法者的欲求，是立法者的意志决定了刑法的创制的错误之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关键词：</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刑法  刑事社会学派  法实证主义  建构主义  新自由主义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法律、治理与制度创新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——以地方性税收保障立法为中心的讨论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作者信息：</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郭志东，中国政法大学法学院法学理论专业2015级博士研究生。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摘  要：</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法律的僵化性、滞后性与国家治理所要求的制度及时供给之间的矛盾，是传统法治理论内在矛盾的具体呈现，制约着中国法治建设的发展。在对传统法治理论修正与扩展的基础上，新型法治理论（区域法治理论和地方法治理论）应运而生，地方立法及其对制度创新的推进作用得到强调，从而在理论和实践两个层面疏解了法律、制度与治理三者之间的矛盾。然而，地方立法对制度创新的推进作用，具体如何呈现，内在机理如何，并未得到充分重视。地方税收保障立法及其核心制度（涉税信息共享制度）近十余年的发展历程，清晰地揭示了地方立法对制度创新的推进作用及其内在机理，为研究的深入展开提供了基础，同时引发我们对中国法学自主性的思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关键词：</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法治  地方立法  税收保障  中国法学自主性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股东代表诉讼中诉权滥用问题研究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作者信息：</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袁梓旋，中国政法大学民商经济法学院民商法专业2017级博士研究生。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摘 要：</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在股东代表诉讼中，原告股东直接以自己名义提起代表公司的诉讼，一定程度上突破了公司的独立主体资格。此制度在公司为内部人所控制，无法维护自身权益时有益处。但若矫枉过正，股东代表诉讼被随时随地的滥用或提起，则会破坏整个公司法体系。由此，提高代表诉讼的门槛，明确管理者的不当行为，股东才能够提起诉讼，而不应将潜在的严重损失作为前置程序的豁免条件。对于管理者严重不当行为的监管职责应由监事会进行监督和处理。公司内部管理中，引入商事经营判断原则，管理者的善意经营行为列入不可诉行为的范围。此要求必须要最大程度发挥该制度对公司的治理的监督作用以减低公司经营者的经营运作风险，最终达到平衡监督和防止滥诉的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关键词：</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股东代表诉讼股东权  诉权滥用  防止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78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论ICSID对违反合同之诉的管辖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         ——基于对ICSID仲裁案例的梳理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作者信息：</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萧鑫，中国政法大学中欧法学院民商法专业2016级博士研究生。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摘 要：</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投资者与东道国之间的合同争端是否受ICSID管辖是一带一路战略下的重要法律课题。从ICSID仲裁实践来看，对该问题的回答最终是要解释BIT中心条款中“同意”的涵盖范围、BIT中心条款与合同管辖条款的关系，以及BIT协议中保护伞条款的内涵。一定程度上会受到投资协议及BIT条文之用语、措辞的影响。而ICSID在进行上述解释时，存在着不同的倾向，比较合理的解释路径是要平衡投资者的程序选择权与东道国对外国投资进行规制的现实需求，并对保护伞条款的适用范围和条件加以限制，包括程度要求、形式要求和性质要求。我国在与一带一路国家进行BIT条约谈判过程中应当谨慎拟定ISDS条款，务必结合自身经济发展的现实状况和长远目标，以及同缔约对方的经济往来情况，进行全面的利益权衡。而我国投资者在一带一路国家签订投资合同时，则应当努力寻求将中心条款纳入到投资协议中，确保ICSID对违反合同之诉的管辖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关键词：</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ICSID  违反合同之诉  违反条约之诉  管辖选择条款  保护伞条款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4"/>
        <w:keepNext w:val="0"/>
        <w:keepLines w:val="0"/>
        <w:widowControl/>
        <w:suppressLineNumbers w:val="0"/>
        <w:pBdr>
          <w:top w:val="none" w:color="77AAA9" w:sz="0" w:space="0"/>
          <w:left w:val="none" w:color="77AAA9" w:sz="0" w:space="0"/>
          <w:bottom w:val="none" w:color="77AAA9" w:sz="0" w:space="0"/>
          <w:right w:val="none" w:color="77AAA9" w:sz="0" w:space="0"/>
        </w:pBdr>
        <w:spacing w:before="0" w:beforeAutospacing="0" w:after="0" w:afterAutospacing="0"/>
        <w:ind w:left="0" w:right="0"/>
        <w:jc w:val="center"/>
        <w:rPr>
          <w:sz w:val="24"/>
          <w:szCs w:val="24"/>
        </w:rPr>
      </w:pP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他山之石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消逝的选择合同相对人的自由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作者信息：</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[英]休·柯林斯（Hugh Collins），牛津大学万灵学院学院普通法教授。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ascii="Symbol" w:hAnsi="Symbol" w:eastAsia="Microsoft YaHei UI" w:cs="Symbol"/>
          <w:i w:val="0"/>
          <w:caps w:val="0"/>
          <w:color w:val="333333"/>
          <w:spacing w:val="8"/>
          <w:sz w:val="24"/>
          <w:szCs w:val="24"/>
          <w:bdr w:val="none" w:color="auto" w:sz="0" w:space="0"/>
          <w:shd w:val="clear" w:fill="FFFFFF"/>
        </w:rPr>
        <w:t>译者信息：</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刘禹，中国政法大学国际法学院国际经济法专业2016级博士研究生。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译者按（有删减）：</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本文就选择合同相对人的自由这一话题展开了探讨，一方面，个人的自由权与自由市场得到了普遍承认，因此不受限制的选择权得到了保障；另一方面，对被拒绝的个人行使选择权的后果是破坏了市场中的公平机会，并导致了社会排斥。迫于该困局的压力，每个自由社会都在重新思考选择合同相对人自由的范围。作者通过对选择合同相对人的权利和相对人拒绝的权利二者之间的冲突，来理解私权领域的公共利益，并对选择合同相对人自由的最小范围进行了探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ind w:left="0" w:right="0"/>
        <w:jc w:val="center"/>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成本考量：绘制司法裁量与行政裁量的界限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作者信息：</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[美]丹尼尔· A • 法伯（Daniel A. Farber）（1950-），男，加州大学伯克利分校（University of California, Berkeley）佐藤翔法学教授（Sho Sato Professor of Law）。原文刊载于《哈佛环境法评论》（Harvard Environmental Law Review）2016年第1期，第87-136页。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译者信息：</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任文荭，中国政法大学法律硕士学院法律（非法学）2015级硕士研究生；余佳，复旦大学法学院 宪法学与行政法学专业2015级硕士研究生。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摘 要：</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美国联邦最高法院最近在</w:t>
      </w:r>
      <w:r>
        <w:rPr>
          <w:rStyle w:val="7"/>
          <w:rFonts w:hint="eastAsia" w:ascii="Microsoft YaHei UI" w:hAnsi="Microsoft YaHei UI" w:eastAsia="Microsoft YaHei UI" w:cs="Microsoft YaHei UI"/>
          <w:i/>
          <w:caps w:val="0"/>
          <w:color w:val="333333"/>
          <w:spacing w:val="8"/>
          <w:sz w:val="24"/>
          <w:szCs w:val="24"/>
          <w:bdr w:val="none" w:color="auto" w:sz="0" w:space="0"/>
          <w:shd w:val="clear" w:fill="FFFFFF"/>
        </w:rPr>
        <w:t>Michigan v. EPA</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一案中所作出的判决仅仅是长期以来饱受争议案件中的一例，其争议焦点始终围绕同一个难题，即决策制定者何时可以或必须考虑成本因素？无论是行政机关制定规则，还是法院发布制定法的禁令，都将面临这个问题。前述两个领域内的法律彼此独立发展，而案例也具有强烈的司法分歧。然而，更深层次的分析显示，对这两个领域的成本进行规制的原则，在很大程度上是相同的</w:t>
      </w: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至于具体如何考虑成本因素，这两个领域则存在差异：法院发布禁令时必须套用利益平衡方法（</w:t>
      </w:r>
      <w:r>
        <w:rPr>
          <w:rStyle w:val="7"/>
          <w:rFonts w:hint="eastAsia" w:ascii="Microsoft YaHei UI" w:hAnsi="Microsoft YaHei UI" w:eastAsia="Microsoft YaHei UI" w:cs="Microsoft YaHei UI"/>
          <w:i/>
          <w:caps w:val="0"/>
          <w:color w:val="333333"/>
          <w:spacing w:val="8"/>
          <w:sz w:val="24"/>
          <w:szCs w:val="24"/>
          <w:bdr w:val="none" w:color="auto" w:sz="0" w:space="0"/>
          <w:shd w:val="clear" w:fill="FFFFFF"/>
        </w:rPr>
        <w:t>参见eBay</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案），而行政机关有其他选择（</w:t>
      </w:r>
      <w:r>
        <w:rPr>
          <w:rStyle w:val="7"/>
          <w:rFonts w:hint="eastAsia" w:ascii="Microsoft YaHei UI" w:hAnsi="Microsoft YaHei UI" w:eastAsia="Microsoft YaHei UI" w:cs="Microsoft YaHei UI"/>
          <w:i/>
          <w:caps w:val="0"/>
          <w:color w:val="333333"/>
          <w:spacing w:val="8"/>
          <w:sz w:val="24"/>
          <w:szCs w:val="24"/>
          <w:bdr w:val="none" w:color="auto" w:sz="0" w:space="0"/>
          <w:shd w:val="clear" w:fill="FFFFFF"/>
        </w:rPr>
        <w:t>参见Michigan v. EPA</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案）。应当将</w:t>
      </w:r>
      <w:r>
        <w:rPr>
          <w:rStyle w:val="7"/>
          <w:rFonts w:hint="eastAsia" w:ascii="Microsoft YaHei UI" w:hAnsi="Microsoft YaHei UI" w:eastAsia="Microsoft YaHei UI" w:cs="Microsoft YaHei UI"/>
          <w:i/>
          <w:caps w:val="0"/>
          <w:color w:val="333333"/>
          <w:spacing w:val="8"/>
          <w:sz w:val="24"/>
          <w:szCs w:val="24"/>
          <w:bdr w:val="none" w:color="auto" w:sz="0" w:space="0"/>
          <w:shd w:val="clear" w:fill="FFFFFF"/>
        </w:rPr>
        <w:t>Michigan v. EPA</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案的处理方法适用于司法和行政两个领域中，这一分歧才能被化解。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关键词</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：成本因素  司法机关  行政机关  裁量权  冲突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z w:val="24"/>
          <w:szCs w:val="24"/>
        </w:rPr>
      </w:pP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w:t>
      </w:r>
      <w:r>
        <w:rPr>
          <w:rStyle w:val="6"/>
          <w:rFonts w:hint="eastAsia" w:ascii="Microsoft YaHei UI" w:hAnsi="Microsoft YaHei UI" w:eastAsia="Microsoft YaHei UI" w:cs="Microsoft YaHei UI"/>
          <w:i w:val="0"/>
          <w:caps w:val="0"/>
          <w:color w:val="333333"/>
          <w:spacing w:val="8"/>
          <w:sz w:val="24"/>
          <w:szCs w:val="24"/>
          <w:bdr w:val="none" w:color="auto" w:sz="0" w:space="0"/>
          <w:shd w:val="clear" w:fill="FFFFFF"/>
        </w:rPr>
        <w:t>备注：</w:t>
      </w:r>
      <w:r>
        <w:rPr>
          <w:rFonts w:hint="eastAsia" w:ascii="微软雅黑" w:hAnsi="微软雅黑" w:eastAsia="微软雅黑" w:cs="微软雅黑"/>
          <w:i w:val="0"/>
          <w:caps w:val="0"/>
          <w:color w:val="3F3F3F"/>
          <w:spacing w:val="23"/>
          <w:sz w:val="24"/>
          <w:szCs w:val="24"/>
          <w:bdr w:val="none" w:color="auto" w:sz="0" w:space="0"/>
          <w:shd w:val="clear" w:fill="FFFFFF"/>
        </w:rPr>
        <w:t>中文“摘要”二字与关键词均为译者为中文出版所需而加注的内容。</w:t>
      </w:r>
      <w:r>
        <w:rPr>
          <w:rFonts w:hint="eastAsia" w:ascii="Microsoft YaHei UI" w:hAnsi="Microsoft YaHei UI" w:eastAsia="Microsoft YaHei UI" w:cs="Microsoft YaHei UI"/>
          <w:i w:val="0"/>
          <w:caps w:val="0"/>
          <w:color w:val="333333"/>
          <w:spacing w:val="8"/>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5269230" cy="7130415"/>
            <wp:effectExtent l="0" t="0" r="7620" b="13335"/>
            <wp:docPr id="9" name="图片 9" descr="微信图片_20180913235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180913235632"/>
                    <pic:cNvPicPr>
                      <a:picLocks noChangeAspect="1"/>
                    </pic:cNvPicPr>
                  </pic:nvPicPr>
                  <pic:blipFill>
                    <a:blip r:embed="rId6"/>
                    <a:stretch>
                      <a:fillRect/>
                    </a:stretch>
                  </pic:blipFill>
                  <pic:spPr>
                    <a:xfrm>
                      <a:off x="0" y="0"/>
                      <a:ext cx="5269230" cy="7130415"/>
                    </a:xfrm>
                    <a:prstGeom prst="rect">
                      <a:avLst/>
                    </a:prstGeom>
                  </pic:spPr>
                </pic:pic>
              </a:graphicData>
            </a:graphic>
          </wp:inline>
        </w:drawing>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75C98"/>
    <w:rsid w:val="6AD75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2018-10-10T14:38:00Z</dcterms:created>
  <dc:creator>小章鱼</dc:creator>
  <cp:lastModifiedBy>小章鱼</cp:lastModifiedBy>
  <dcterms:modified xsi:type="dcterms:W3CDTF">2018-10-10T14:54:17Z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