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32" w:rsidRPr="00F42B3E" w:rsidRDefault="00100532" w:rsidP="00100532">
      <w:pPr>
        <w:spacing w:line="520" w:lineRule="exact"/>
        <w:rPr>
          <w:rFonts w:ascii="仿宋" w:eastAsia="仿宋" w:hAnsi="仿宋" w:hint="eastAsia"/>
          <w:b/>
          <w:sz w:val="36"/>
          <w:szCs w:val="36"/>
        </w:rPr>
      </w:pPr>
      <w:r w:rsidRPr="00100A05">
        <w:rPr>
          <w:rFonts w:ascii="黑体" w:eastAsia="黑体" w:hAnsi="黑体" w:hint="eastAsia"/>
          <w:sz w:val="32"/>
          <w:szCs w:val="32"/>
        </w:rPr>
        <w:t>附件</w:t>
      </w:r>
      <w:r>
        <w:rPr>
          <w:rFonts w:ascii="黑体" w:eastAsia="黑体" w:hAnsi="黑体" w:hint="eastAsia"/>
          <w:sz w:val="32"/>
          <w:szCs w:val="32"/>
        </w:rPr>
        <w:t xml:space="preserve">  </w:t>
      </w:r>
      <w:r w:rsidRPr="00F42B3E">
        <w:rPr>
          <w:rFonts w:ascii="仿宋" w:eastAsia="仿宋" w:hAnsi="仿宋" w:hint="eastAsia"/>
          <w:b/>
          <w:sz w:val="36"/>
          <w:szCs w:val="36"/>
        </w:rPr>
        <w:t>社会工作硕士专业学位研究生指导性培养方案</w:t>
      </w:r>
    </w:p>
    <w:p w:rsidR="00100532" w:rsidRPr="00F42B3E" w:rsidRDefault="00100532" w:rsidP="00100532">
      <w:pPr>
        <w:spacing w:line="520" w:lineRule="exact"/>
        <w:rPr>
          <w:rFonts w:ascii="仿宋" w:eastAsia="仿宋" w:hAnsi="仿宋"/>
          <w:sz w:val="36"/>
          <w:szCs w:val="36"/>
        </w:rPr>
      </w:pP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t>基于我国经济与社会发展需要，遵循社会工作学科研究生教育一般规律，根据专业学位教育特点，借鉴、吸收发达国家和地区高层次社会工作专门人才培养的有益经验，制定本培养方案。</w:t>
      </w:r>
    </w:p>
    <w:p w:rsidR="00100532" w:rsidRPr="00100A05" w:rsidRDefault="00100532" w:rsidP="00100532">
      <w:pPr>
        <w:spacing w:line="520" w:lineRule="exact"/>
        <w:ind w:firstLineChars="200" w:firstLine="640"/>
        <w:rPr>
          <w:rFonts w:ascii="黑体" w:eastAsia="黑体" w:hAnsi="黑体"/>
          <w:sz w:val="32"/>
          <w:szCs w:val="32"/>
        </w:rPr>
      </w:pPr>
      <w:r w:rsidRPr="00100A05">
        <w:rPr>
          <w:rFonts w:ascii="黑体" w:eastAsia="黑体" w:hAnsi="黑体" w:hint="eastAsia"/>
          <w:sz w:val="32"/>
          <w:szCs w:val="32"/>
        </w:rPr>
        <w:t>一、培养目标</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培养德、智、体全面发展，具有“以人为本、助人自助、公平公正”的专业价值观，掌握社会工作的理论和方法，熟悉我国社会政策，具备较强的社会服务策划、执行、督导、评估和研究能力，胜任针对不同人群及领域的社会服务与社会管理的应用型高级专业人才。</w:t>
      </w:r>
    </w:p>
    <w:p w:rsidR="00100532" w:rsidRPr="00100A05" w:rsidRDefault="00100532" w:rsidP="00100532">
      <w:pPr>
        <w:spacing w:line="520" w:lineRule="exact"/>
        <w:ind w:firstLineChars="200" w:firstLine="640"/>
        <w:rPr>
          <w:rFonts w:ascii="黑体" w:eastAsia="黑体" w:hAnsi="黑体"/>
          <w:sz w:val="32"/>
          <w:szCs w:val="32"/>
        </w:rPr>
      </w:pPr>
      <w:r w:rsidRPr="00100A05">
        <w:rPr>
          <w:rFonts w:ascii="黑体" w:eastAsia="黑体" w:hAnsi="黑体" w:hint="eastAsia"/>
          <w:sz w:val="32"/>
          <w:szCs w:val="32"/>
        </w:rPr>
        <w:t>二、招生对象</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招生对象一般为社会工作及相关专业或具有一定社会工作实践经验的其他专业的学士学位获得者。</w:t>
      </w:r>
    </w:p>
    <w:p w:rsidR="00100532" w:rsidRPr="00100A05" w:rsidRDefault="00100532" w:rsidP="00100532">
      <w:pPr>
        <w:spacing w:line="520" w:lineRule="exact"/>
        <w:ind w:firstLineChars="200" w:firstLine="640"/>
        <w:rPr>
          <w:rFonts w:ascii="黑体" w:eastAsia="黑体" w:hAnsi="黑体"/>
          <w:sz w:val="32"/>
          <w:szCs w:val="32"/>
        </w:rPr>
      </w:pPr>
      <w:r w:rsidRPr="00100A05">
        <w:rPr>
          <w:rFonts w:ascii="黑体" w:eastAsia="黑体" w:hAnsi="黑体" w:hint="eastAsia"/>
          <w:sz w:val="32"/>
          <w:szCs w:val="32"/>
        </w:rPr>
        <w:t>三、学习年限</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实行弹性学制。可以全日制学习，也可以非全日制学习。全日制学习年限一般为2年；非全日制学习年限一般为2-4年。</w:t>
      </w:r>
    </w:p>
    <w:p w:rsidR="00100532" w:rsidRPr="00100A05" w:rsidRDefault="00100532" w:rsidP="00100532">
      <w:pPr>
        <w:spacing w:line="520" w:lineRule="exact"/>
        <w:ind w:firstLineChars="200" w:firstLine="640"/>
        <w:rPr>
          <w:rFonts w:ascii="黑体" w:eastAsia="黑体" w:hAnsi="黑体"/>
          <w:sz w:val="32"/>
          <w:szCs w:val="32"/>
        </w:rPr>
      </w:pPr>
      <w:r w:rsidRPr="00100A05">
        <w:rPr>
          <w:rFonts w:ascii="黑体" w:eastAsia="黑体" w:hAnsi="黑体" w:hint="eastAsia"/>
          <w:sz w:val="32"/>
          <w:szCs w:val="32"/>
        </w:rPr>
        <w:t>四、培养方式</w:t>
      </w: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t>1、实行学分制。学生必须通过学校组织的规定课程的考试，成绩合格方能取得该门课程的学分；修满规定的学分方能撰写学位论文。</w:t>
      </w: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t>2、教学方式采用课程讲授、案例研讨和专业实习等多种形式，重视实践教学。实务课程要配备现代化的多媒体教室、社会工作实验室等硬件设施，要聘请有实践经验的优秀社会工作人才为学生上课或开设讲座，可采用案例分析的方</w:t>
      </w:r>
      <w:r w:rsidRPr="00100A05">
        <w:rPr>
          <w:rFonts w:ascii="仿宋" w:eastAsia="仿宋" w:hAnsi="仿宋" w:hint="eastAsia"/>
          <w:sz w:val="32"/>
          <w:szCs w:val="32"/>
        </w:rPr>
        <w:lastRenderedPageBreak/>
        <w:t>式授课，加强社会工作实务技能的训练，兼顾研究能力的培养。</w:t>
      </w: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t>3、重视实习环节。要求学生至少有800小时的专业实习。发挥学校督导与机构督导的双重作用，提高实习教学水平。</w:t>
      </w: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t>4、成立导师组，发挥集体培养的作用。导师组应以具有指导硕士研究生资格的正、副教授为主，并吸收社会服务与管理部门的优秀社会工作人才参加；实行双导师制，即学校专职教师与有实际工作经验和研究水平的优秀社会工作人才共同指导。</w:t>
      </w:r>
    </w:p>
    <w:p w:rsidR="00100532" w:rsidRPr="00100A05" w:rsidRDefault="00100532" w:rsidP="00100532">
      <w:pPr>
        <w:spacing w:line="520" w:lineRule="exact"/>
        <w:ind w:firstLineChars="200" w:firstLine="640"/>
        <w:rPr>
          <w:rFonts w:ascii="黑体" w:eastAsia="黑体" w:hAnsi="黑体"/>
          <w:sz w:val="32"/>
          <w:szCs w:val="32"/>
        </w:rPr>
      </w:pPr>
      <w:r w:rsidRPr="00100A05">
        <w:rPr>
          <w:rFonts w:ascii="黑体" w:eastAsia="黑体" w:hAnsi="黑体" w:hint="eastAsia"/>
          <w:sz w:val="32"/>
          <w:szCs w:val="32"/>
        </w:rPr>
        <w:t>五、课程设置</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社会工作硕士专业学位研究生课程的总学分不低于36学分。</w:t>
      </w:r>
    </w:p>
    <w:p w:rsidR="00100532"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1、必修课</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（1）公共必修课</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政治理论</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外语</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（2）专业必修课（不少于12学分）</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社会工作理论</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社会研究方法</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高级社会工作实务</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社会工作伦理</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社会政策</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2、选修课（不少于8学分，以下课程只做参考）</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（1）人的行为与社会环境</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（2）家庭与家庭服务</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（3）贫困与发展</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lastRenderedPageBreak/>
        <w:t>（4）社会服务管理</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（5）社会项目管理</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（6）社会工作评估</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（7）中国社会政策</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（8）社会保障制度</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（9）社会福利思想</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（10）比较社会福利制度</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（11）社会统计分析</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（12）儿童社会工作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（13）青少年社会工作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（14）老年社会工作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（15）女性社会工作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（16）残疾人社会工作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（17）精神健康服务</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（18）学校社会工作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（19）医务社会工作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（20）社会矫正</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（21）企业社会工作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（22）农村社会工作</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（23）各个学校根据需要开设的其他社会工作类选修课</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3、社会工作实习（必修，社会工作专业本科毕业生不少于600小时，其他学生不少于800小时，6学分）</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实行有专业督导的社会工作实习，可分成同步实习、集中（团块）实习两部分，在两年内完成，分别计学分。</w:t>
      </w:r>
    </w:p>
    <w:p w:rsidR="00100532" w:rsidRPr="00100A05" w:rsidRDefault="00100532" w:rsidP="00100532">
      <w:pPr>
        <w:spacing w:line="520" w:lineRule="exact"/>
        <w:rPr>
          <w:rFonts w:ascii="仿宋" w:eastAsia="仿宋" w:hAnsi="仿宋"/>
          <w:sz w:val="32"/>
          <w:szCs w:val="32"/>
        </w:rPr>
      </w:pPr>
      <w:r w:rsidRPr="00100A05">
        <w:rPr>
          <w:rFonts w:ascii="仿宋" w:eastAsia="仿宋" w:hAnsi="仿宋" w:hint="eastAsia"/>
          <w:sz w:val="32"/>
          <w:szCs w:val="32"/>
        </w:rPr>
        <w:t>4、学位论文（2学分）</w:t>
      </w:r>
    </w:p>
    <w:p w:rsidR="00100532" w:rsidRPr="00100A05" w:rsidRDefault="00100532" w:rsidP="00100532">
      <w:pPr>
        <w:spacing w:line="520" w:lineRule="exact"/>
        <w:ind w:firstLineChars="250" w:firstLine="800"/>
        <w:rPr>
          <w:rFonts w:ascii="黑体" w:eastAsia="黑体" w:hAnsi="黑体"/>
          <w:sz w:val="32"/>
          <w:szCs w:val="32"/>
        </w:rPr>
      </w:pPr>
      <w:r w:rsidRPr="00100A05">
        <w:rPr>
          <w:rFonts w:ascii="黑体" w:eastAsia="黑体" w:hAnsi="黑体" w:hint="eastAsia"/>
          <w:sz w:val="32"/>
          <w:szCs w:val="32"/>
        </w:rPr>
        <w:t>六、学位论文和学位授予</w:t>
      </w: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lastRenderedPageBreak/>
        <w:t>学生应在导师指导下独立完成学位论文。论文可以是项目设计与评估、实务研究或政策研究等。</w:t>
      </w:r>
    </w:p>
    <w:p w:rsidR="00100532" w:rsidRPr="00100A05" w:rsidRDefault="00100532" w:rsidP="00100532">
      <w:pPr>
        <w:spacing w:line="520" w:lineRule="exact"/>
        <w:ind w:firstLineChars="200" w:firstLine="640"/>
        <w:rPr>
          <w:rFonts w:ascii="仿宋" w:eastAsia="仿宋" w:hAnsi="仿宋"/>
          <w:sz w:val="32"/>
          <w:szCs w:val="32"/>
        </w:rPr>
      </w:pPr>
      <w:r w:rsidRPr="00100A05">
        <w:rPr>
          <w:rFonts w:ascii="仿宋" w:eastAsia="仿宋" w:hAnsi="仿宋" w:hint="eastAsia"/>
          <w:sz w:val="32"/>
          <w:szCs w:val="32"/>
        </w:rPr>
        <w:t>学生完成规定的课程学习、修满学分，按规定完成学位论文并通过学位论文答辩者，授予社会工作硕士专业学位，颁发硕士研究生毕业证书。</w:t>
      </w:r>
    </w:p>
    <w:p w:rsidR="00100532" w:rsidRPr="00100A05" w:rsidRDefault="00100532" w:rsidP="00100532">
      <w:pPr>
        <w:spacing w:line="520" w:lineRule="exact"/>
        <w:rPr>
          <w:rFonts w:ascii="仿宋" w:eastAsia="仿宋" w:hAnsi="仿宋"/>
          <w:sz w:val="32"/>
          <w:szCs w:val="32"/>
        </w:rPr>
      </w:pPr>
    </w:p>
    <w:p w:rsidR="00100532" w:rsidRPr="00100A05" w:rsidRDefault="00100532" w:rsidP="00100532">
      <w:pPr>
        <w:spacing w:line="520" w:lineRule="exact"/>
        <w:rPr>
          <w:rFonts w:ascii="仿宋" w:eastAsia="仿宋" w:hAnsi="仿宋"/>
          <w:sz w:val="32"/>
          <w:szCs w:val="32"/>
        </w:rPr>
      </w:pPr>
    </w:p>
    <w:p w:rsidR="00242CEE" w:rsidRPr="00100532" w:rsidRDefault="00242CEE"/>
    <w:sectPr w:rsidR="00242CEE" w:rsidRPr="00100532" w:rsidSect="00D03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CEE" w:rsidRDefault="00242CEE" w:rsidP="00100532">
      <w:r>
        <w:separator/>
      </w:r>
    </w:p>
  </w:endnote>
  <w:endnote w:type="continuationSeparator" w:id="1">
    <w:p w:rsidR="00242CEE" w:rsidRDefault="00242CEE" w:rsidP="00100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CEE" w:rsidRDefault="00242CEE" w:rsidP="00100532">
      <w:r>
        <w:separator/>
      </w:r>
    </w:p>
  </w:footnote>
  <w:footnote w:type="continuationSeparator" w:id="1">
    <w:p w:rsidR="00242CEE" w:rsidRDefault="00242CEE" w:rsidP="0010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532"/>
    <w:rsid w:val="00100532"/>
    <w:rsid w:val="00242CEE"/>
    <w:rsid w:val="00F42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532"/>
    <w:rPr>
      <w:sz w:val="18"/>
      <w:szCs w:val="18"/>
    </w:rPr>
  </w:style>
  <w:style w:type="paragraph" w:styleId="a4">
    <w:name w:val="footer"/>
    <w:basedOn w:val="a"/>
    <w:link w:val="Char0"/>
    <w:uiPriority w:val="99"/>
    <w:semiHidden/>
    <w:unhideWhenUsed/>
    <w:rsid w:val="00100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05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王旭</dc:creator>
  <cp:keywords/>
  <dc:description/>
  <cp:lastModifiedBy>王旭</cp:lastModifiedBy>
  <cp:revision>3</cp:revision>
  <dcterms:created xsi:type="dcterms:W3CDTF">2020-04-17T02:42:00Z</dcterms:created>
  <dcterms:modified xsi:type="dcterms:W3CDTF">2020-04-17T02:43:00Z</dcterms:modified>
</cp:coreProperties>
</file>